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6559" w14:textId="2E519423" w:rsidR="00075FFE" w:rsidRPr="005D4494" w:rsidRDefault="00075FFE" w:rsidP="00075FFE">
      <w:pPr>
        <w:spacing w:line="276" w:lineRule="auto"/>
        <w:rPr>
          <w:rFonts w:ascii="Arial" w:hAnsi="Arial" w:cs="Arial"/>
          <w:sz w:val="22"/>
          <w:szCs w:val="22"/>
        </w:rPr>
      </w:pPr>
      <w:r>
        <w:rPr>
          <w:rFonts w:ascii="Arial" w:eastAsia="Arial" w:hAnsi="Arial" w:cs="Arial"/>
          <w:b/>
          <w:bCs/>
          <w:sz w:val="22"/>
          <w:szCs w:val="22"/>
        </w:rPr>
        <w:t xml:space="preserve">Porth of Menteith Local Place Plan </w:t>
      </w:r>
      <w:r w:rsidRPr="005D4494">
        <w:rPr>
          <w:rFonts w:ascii="Arial" w:eastAsia="Arial" w:hAnsi="Arial" w:cs="Arial"/>
          <w:b/>
          <w:bCs/>
          <w:sz w:val="22"/>
          <w:szCs w:val="22"/>
        </w:rPr>
        <w:t>Submission Statement</w:t>
      </w:r>
    </w:p>
    <w:p w14:paraId="547DC838" w14:textId="77777777" w:rsidR="00075FFE" w:rsidRPr="005D4494" w:rsidRDefault="00075FFE" w:rsidP="00075FFE">
      <w:pPr>
        <w:spacing w:line="276" w:lineRule="auto"/>
        <w:rPr>
          <w:rFonts w:ascii="Arial" w:eastAsia="Arial" w:hAnsi="Arial" w:cs="Arial"/>
          <w:sz w:val="22"/>
          <w:szCs w:val="22"/>
        </w:rPr>
      </w:pPr>
    </w:p>
    <w:p w14:paraId="7876F1B8" w14:textId="77777777" w:rsidR="00075FFE" w:rsidRPr="005D4494" w:rsidRDefault="00075FFE" w:rsidP="00075FFE">
      <w:pPr>
        <w:spacing w:line="276" w:lineRule="auto"/>
        <w:rPr>
          <w:rFonts w:ascii="Arial" w:eastAsia="Arial" w:hAnsi="Arial" w:cs="Arial"/>
          <w:sz w:val="22"/>
          <w:szCs w:val="22"/>
        </w:rPr>
      </w:pPr>
      <w:r w:rsidRPr="005D4494">
        <w:rPr>
          <w:rFonts w:ascii="Arial" w:eastAsia="Arial" w:hAnsi="Arial" w:cs="Arial"/>
          <w:sz w:val="22"/>
          <w:szCs w:val="22"/>
        </w:rPr>
        <w:t>Dear Planning Authority</w:t>
      </w:r>
    </w:p>
    <w:p w14:paraId="062416D5" w14:textId="77777777" w:rsidR="00075FFE" w:rsidRPr="005D4494" w:rsidRDefault="00075FFE" w:rsidP="00075FFE">
      <w:pPr>
        <w:spacing w:line="276" w:lineRule="auto"/>
        <w:rPr>
          <w:rFonts w:ascii="Arial" w:eastAsia="Arial" w:hAnsi="Arial" w:cs="Arial"/>
          <w:sz w:val="22"/>
          <w:szCs w:val="22"/>
        </w:rPr>
      </w:pPr>
    </w:p>
    <w:p w14:paraId="318CADF1" w14:textId="6A479515" w:rsidR="00075FFE" w:rsidRPr="005D4494" w:rsidRDefault="00075FFE" w:rsidP="00075FFE">
      <w:pPr>
        <w:spacing w:line="276" w:lineRule="auto"/>
        <w:rPr>
          <w:rFonts w:ascii="Arial" w:eastAsia="Arial" w:hAnsi="Arial" w:cs="Arial"/>
          <w:sz w:val="22"/>
          <w:szCs w:val="22"/>
        </w:rPr>
      </w:pPr>
      <w:r w:rsidRPr="005D4494">
        <w:rPr>
          <w:rFonts w:ascii="Arial" w:eastAsia="Arial" w:hAnsi="Arial" w:cs="Arial"/>
          <w:sz w:val="22"/>
          <w:szCs w:val="22"/>
        </w:rPr>
        <w:t>Please find attached and linked, a digital copy of the Proposed</w:t>
      </w:r>
      <w:r>
        <w:rPr>
          <w:rFonts w:ascii="Arial" w:eastAsia="Arial" w:hAnsi="Arial" w:cs="Arial"/>
          <w:sz w:val="22"/>
          <w:szCs w:val="22"/>
        </w:rPr>
        <w:t xml:space="preserve"> Port of Menteith</w:t>
      </w:r>
      <w:r w:rsidRPr="005D4494">
        <w:rPr>
          <w:rFonts w:ascii="Arial" w:eastAsia="Arial" w:hAnsi="Arial" w:cs="Arial"/>
          <w:sz w:val="22"/>
          <w:szCs w:val="22"/>
        </w:rPr>
        <w:t xml:space="preserve"> Local Place Plan (LPP).</w:t>
      </w:r>
    </w:p>
    <w:p w14:paraId="7CF9B1BE" w14:textId="77777777" w:rsidR="00075FFE" w:rsidRPr="005D4494" w:rsidRDefault="00075FFE" w:rsidP="00075FFE">
      <w:pPr>
        <w:spacing w:line="276" w:lineRule="auto"/>
        <w:rPr>
          <w:rFonts w:ascii="Arial" w:eastAsia="Arial" w:hAnsi="Arial" w:cs="Arial"/>
          <w:sz w:val="22"/>
          <w:szCs w:val="22"/>
        </w:rPr>
      </w:pPr>
    </w:p>
    <w:p w14:paraId="1224B2E6" w14:textId="77777777" w:rsidR="00075FFE" w:rsidRPr="005D4494" w:rsidRDefault="00075FFE" w:rsidP="00075FFE">
      <w:pPr>
        <w:spacing w:line="276" w:lineRule="auto"/>
        <w:rPr>
          <w:rFonts w:ascii="Arial" w:eastAsia="Arial" w:hAnsi="Arial" w:cs="Arial"/>
          <w:b/>
          <w:bCs/>
          <w:sz w:val="22"/>
          <w:szCs w:val="22"/>
        </w:rPr>
      </w:pPr>
      <w:r w:rsidRPr="005D4494">
        <w:rPr>
          <w:rFonts w:ascii="Arial" w:eastAsia="Arial" w:hAnsi="Arial" w:cs="Arial"/>
          <w:b/>
          <w:bCs/>
          <w:sz w:val="22"/>
          <w:szCs w:val="22"/>
        </w:rPr>
        <w:t>Community Body</w:t>
      </w:r>
    </w:p>
    <w:p w14:paraId="24EFD22F" w14:textId="77777777" w:rsidR="00075FFE" w:rsidRPr="005D4494" w:rsidRDefault="00075FFE" w:rsidP="00075FFE">
      <w:pPr>
        <w:spacing w:line="276" w:lineRule="auto"/>
        <w:rPr>
          <w:rFonts w:ascii="Arial" w:eastAsia="Arial" w:hAnsi="Arial" w:cs="Arial"/>
          <w:sz w:val="22"/>
          <w:szCs w:val="22"/>
        </w:rPr>
      </w:pPr>
    </w:p>
    <w:p w14:paraId="09DC38C3" w14:textId="26BA4F14" w:rsidR="00075FFE" w:rsidRPr="005D4494" w:rsidRDefault="00075FFE" w:rsidP="00075FFE">
      <w:pPr>
        <w:spacing w:line="276" w:lineRule="auto"/>
        <w:rPr>
          <w:rFonts w:ascii="Arial" w:eastAsia="Arial" w:hAnsi="Arial" w:cs="Arial"/>
          <w:sz w:val="22"/>
          <w:szCs w:val="22"/>
        </w:rPr>
      </w:pPr>
      <w:r w:rsidRPr="005D4494">
        <w:rPr>
          <w:rFonts w:ascii="Arial" w:eastAsia="Arial" w:hAnsi="Arial" w:cs="Arial"/>
          <w:sz w:val="22"/>
          <w:szCs w:val="22"/>
        </w:rPr>
        <w:t xml:space="preserve">The community body submitting this LPP is </w:t>
      </w:r>
      <w:r>
        <w:rPr>
          <w:rFonts w:ascii="Arial" w:eastAsia="Arial" w:hAnsi="Arial" w:cs="Arial"/>
          <w:sz w:val="22"/>
          <w:szCs w:val="22"/>
        </w:rPr>
        <w:t>Port of Menteith</w:t>
      </w:r>
      <w:r w:rsidRPr="005D4494">
        <w:rPr>
          <w:rFonts w:ascii="Arial" w:eastAsia="Arial" w:hAnsi="Arial" w:cs="Arial"/>
          <w:sz w:val="22"/>
          <w:szCs w:val="22"/>
        </w:rPr>
        <w:t xml:space="preserve"> Community Council</w:t>
      </w:r>
      <w:r>
        <w:rPr>
          <w:rFonts w:ascii="Arial" w:eastAsia="Arial" w:hAnsi="Arial" w:cs="Arial"/>
          <w:sz w:val="22"/>
          <w:szCs w:val="22"/>
        </w:rPr>
        <w:t xml:space="preserve">. </w:t>
      </w:r>
      <w:r w:rsidRPr="005D4494">
        <w:rPr>
          <w:rFonts w:ascii="Arial" w:eastAsia="Arial" w:hAnsi="Arial" w:cs="Arial"/>
          <w:sz w:val="22"/>
          <w:szCs w:val="22"/>
        </w:rPr>
        <w:t xml:space="preserve">Our community body’s contact details are: </w:t>
      </w:r>
      <w:hyperlink r:id="rId8" w:history="1">
        <w:r w:rsidRPr="001A1C6D">
          <w:rPr>
            <w:rStyle w:val="Hyperlink"/>
            <w:rFonts w:ascii="Arial" w:eastAsia="Arial" w:hAnsi="Arial" w:cs="Arial"/>
            <w:sz w:val="22"/>
            <w:szCs w:val="22"/>
          </w:rPr>
          <w:t>cc@portofmenteith.org</w:t>
        </w:r>
      </w:hyperlink>
      <w:r>
        <w:rPr>
          <w:rFonts w:ascii="Arial" w:eastAsia="Arial" w:hAnsi="Arial" w:cs="Arial"/>
          <w:sz w:val="22"/>
          <w:szCs w:val="22"/>
        </w:rPr>
        <w:t xml:space="preserve"> </w:t>
      </w:r>
    </w:p>
    <w:p w14:paraId="20EE0050" w14:textId="77777777" w:rsidR="00075FFE" w:rsidRPr="005D4494" w:rsidRDefault="00075FFE" w:rsidP="00075FFE">
      <w:pPr>
        <w:spacing w:line="276" w:lineRule="auto"/>
        <w:rPr>
          <w:rFonts w:ascii="Arial" w:eastAsia="Arial" w:hAnsi="Arial" w:cs="Arial"/>
          <w:b/>
          <w:bCs/>
          <w:sz w:val="22"/>
          <w:szCs w:val="22"/>
        </w:rPr>
      </w:pPr>
    </w:p>
    <w:p w14:paraId="658EBD0D" w14:textId="77777777" w:rsidR="00075FFE" w:rsidRPr="005D4494" w:rsidRDefault="00075FFE" w:rsidP="00075FFE">
      <w:pPr>
        <w:spacing w:line="276" w:lineRule="auto"/>
        <w:rPr>
          <w:rFonts w:ascii="Arial" w:eastAsia="Arial" w:hAnsi="Arial" w:cs="Arial"/>
          <w:b/>
          <w:bCs/>
          <w:sz w:val="22"/>
          <w:szCs w:val="22"/>
        </w:rPr>
      </w:pPr>
      <w:r w:rsidRPr="005D4494">
        <w:rPr>
          <w:rFonts w:ascii="Arial" w:eastAsia="Arial" w:hAnsi="Arial" w:cs="Arial"/>
          <w:b/>
          <w:bCs/>
          <w:sz w:val="22"/>
          <w:szCs w:val="22"/>
        </w:rPr>
        <w:t xml:space="preserve">Supporting Information </w:t>
      </w:r>
    </w:p>
    <w:p w14:paraId="2FF77A35" w14:textId="77777777" w:rsidR="00075FFE" w:rsidRPr="005D4494" w:rsidRDefault="00075FFE" w:rsidP="00075FFE">
      <w:pPr>
        <w:spacing w:line="276" w:lineRule="auto"/>
        <w:rPr>
          <w:rFonts w:ascii="Arial" w:eastAsia="Arial" w:hAnsi="Arial" w:cs="Arial"/>
          <w:sz w:val="22"/>
          <w:szCs w:val="22"/>
        </w:rPr>
      </w:pPr>
    </w:p>
    <w:p w14:paraId="44181EF7" w14:textId="77777777" w:rsidR="00075FFE" w:rsidRPr="005D4494" w:rsidRDefault="00075FFE" w:rsidP="00075FFE">
      <w:pPr>
        <w:spacing w:line="276" w:lineRule="auto"/>
        <w:rPr>
          <w:rFonts w:ascii="Arial" w:eastAsia="Arial" w:hAnsi="Arial" w:cs="Arial"/>
          <w:sz w:val="22"/>
          <w:szCs w:val="22"/>
        </w:rPr>
      </w:pPr>
      <w:r w:rsidRPr="005D4494">
        <w:rPr>
          <w:rFonts w:ascii="Arial" w:eastAsia="Arial" w:hAnsi="Arial" w:cs="Arial"/>
          <w:sz w:val="22"/>
          <w:szCs w:val="22"/>
        </w:rPr>
        <w:t>Attached or linked is information supporting the LPP or documents referred to in the LPP:</w:t>
      </w:r>
    </w:p>
    <w:p w14:paraId="6C68D028" w14:textId="77777777" w:rsidR="00075FFE" w:rsidRPr="005D4494" w:rsidRDefault="00075FFE" w:rsidP="00075FFE">
      <w:pPr>
        <w:spacing w:line="276" w:lineRule="auto"/>
        <w:rPr>
          <w:rFonts w:ascii="Arial" w:eastAsia="Arial" w:hAnsi="Arial" w:cs="Arial"/>
          <w:sz w:val="22"/>
          <w:szCs w:val="22"/>
        </w:rPr>
      </w:pPr>
    </w:p>
    <w:p w14:paraId="0C0673FD" w14:textId="77777777" w:rsidR="00075FFE" w:rsidRPr="005D4494" w:rsidRDefault="00075FFE" w:rsidP="00075FFE">
      <w:pPr>
        <w:pStyle w:val="ListParagraph"/>
        <w:numPr>
          <w:ilvl w:val="0"/>
          <w:numId w:val="1"/>
        </w:numPr>
        <w:spacing w:line="276" w:lineRule="auto"/>
        <w:rPr>
          <w:rFonts w:ascii="Arial" w:eastAsia="Arial" w:hAnsi="Arial" w:cs="Arial"/>
          <w:sz w:val="22"/>
          <w:szCs w:val="22"/>
        </w:rPr>
      </w:pPr>
      <w:r w:rsidRPr="005D4494">
        <w:rPr>
          <w:rFonts w:ascii="Arial" w:eastAsia="Arial" w:hAnsi="Arial" w:cs="Arial"/>
          <w:sz w:val="22"/>
          <w:szCs w:val="22"/>
        </w:rPr>
        <w:t>Our community body’s written constitution</w:t>
      </w:r>
      <w:r w:rsidRPr="005D4494">
        <w:rPr>
          <w:rFonts w:ascii="Arial" w:eastAsia="Arial" w:hAnsi="Arial" w:cs="Arial"/>
          <w:color w:val="FF0000"/>
          <w:sz w:val="22"/>
          <w:szCs w:val="22"/>
        </w:rPr>
        <w:t xml:space="preserve"> </w:t>
      </w:r>
      <w:r w:rsidRPr="005D4494">
        <w:rPr>
          <w:rFonts w:ascii="Arial" w:eastAsia="Arial" w:hAnsi="Arial" w:cs="Arial"/>
          <w:sz w:val="22"/>
          <w:szCs w:val="22"/>
        </w:rPr>
        <w:t>(if not a CC)</w:t>
      </w:r>
    </w:p>
    <w:p w14:paraId="6E9C6249" w14:textId="77777777" w:rsidR="00075FFE" w:rsidRPr="005D4494" w:rsidRDefault="00075FFE" w:rsidP="00075FFE">
      <w:pPr>
        <w:pStyle w:val="ListParagraph"/>
        <w:numPr>
          <w:ilvl w:val="0"/>
          <w:numId w:val="1"/>
        </w:numPr>
        <w:spacing w:line="276" w:lineRule="auto"/>
        <w:rPr>
          <w:rFonts w:ascii="Arial" w:eastAsia="Arial" w:hAnsi="Arial" w:cs="Arial"/>
          <w:sz w:val="22"/>
          <w:szCs w:val="22"/>
        </w:rPr>
      </w:pPr>
      <w:r w:rsidRPr="005D4494">
        <w:rPr>
          <w:rFonts w:ascii="Arial" w:eastAsia="Arial" w:hAnsi="Arial" w:cs="Arial"/>
          <w:sz w:val="22"/>
          <w:szCs w:val="22"/>
        </w:rPr>
        <w:t>A copy of the Information Notice sent to all councillors and adjoining CCs</w:t>
      </w:r>
    </w:p>
    <w:p w14:paraId="69E5E0D0" w14:textId="77777777" w:rsidR="00075FFE" w:rsidRPr="005D4494" w:rsidRDefault="00075FFE" w:rsidP="00075FFE">
      <w:pPr>
        <w:spacing w:line="276" w:lineRule="auto"/>
        <w:rPr>
          <w:rFonts w:ascii="Arial" w:eastAsia="Arial" w:hAnsi="Arial" w:cs="Arial"/>
          <w:sz w:val="22"/>
          <w:szCs w:val="22"/>
        </w:rPr>
      </w:pPr>
    </w:p>
    <w:p w14:paraId="32EE839A" w14:textId="77777777" w:rsidR="00075FFE" w:rsidRPr="005D4494" w:rsidRDefault="00075FFE" w:rsidP="00075FFE">
      <w:pPr>
        <w:spacing w:line="276" w:lineRule="auto"/>
        <w:rPr>
          <w:rFonts w:ascii="Arial" w:eastAsia="Arial" w:hAnsi="Arial" w:cs="Arial"/>
          <w:b/>
          <w:bCs/>
          <w:sz w:val="22"/>
          <w:szCs w:val="22"/>
        </w:rPr>
      </w:pPr>
      <w:r w:rsidRPr="005D4494">
        <w:rPr>
          <w:rFonts w:ascii="Arial" w:eastAsia="Arial" w:hAnsi="Arial" w:cs="Arial"/>
          <w:b/>
          <w:bCs/>
          <w:sz w:val="22"/>
          <w:szCs w:val="22"/>
        </w:rPr>
        <w:t>Consultation Evidence – Information Notice</w:t>
      </w:r>
    </w:p>
    <w:p w14:paraId="24B640DA" w14:textId="77777777" w:rsidR="00075FFE" w:rsidRPr="005D4494" w:rsidRDefault="00075FFE" w:rsidP="00075FFE">
      <w:pPr>
        <w:spacing w:line="276" w:lineRule="auto"/>
        <w:jc w:val="both"/>
        <w:rPr>
          <w:rFonts w:ascii="Arial" w:eastAsia="Arial" w:hAnsi="Arial" w:cs="Arial"/>
          <w:sz w:val="22"/>
          <w:szCs w:val="22"/>
        </w:rPr>
      </w:pPr>
      <w:r w:rsidRPr="005D4494">
        <w:rPr>
          <w:rFonts w:ascii="Arial" w:eastAsia="Arial" w:hAnsi="Arial" w:cs="Arial"/>
          <w:sz w:val="22"/>
          <w:szCs w:val="22"/>
        </w:rPr>
        <w:t>A copy of the information notice sent to councillors and community councils has been included as an attachment to this submission.</w:t>
      </w:r>
    </w:p>
    <w:p w14:paraId="7EE2A377" w14:textId="77777777" w:rsidR="00075FFE" w:rsidRDefault="00075FFE" w:rsidP="00075FFE">
      <w:pPr>
        <w:spacing w:line="276" w:lineRule="auto"/>
        <w:rPr>
          <w:rFonts w:ascii="Arial" w:eastAsia="Arial" w:hAnsi="Arial" w:cs="Arial"/>
          <w:sz w:val="22"/>
          <w:szCs w:val="22"/>
        </w:rPr>
      </w:pPr>
    </w:p>
    <w:p w14:paraId="57A5F5E1" w14:textId="77777777" w:rsidR="00075FFE" w:rsidRPr="005D4494" w:rsidRDefault="00075FFE" w:rsidP="00075FFE">
      <w:pPr>
        <w:spacing w:line="276" w:lineRule="auto"/>
        <w:jc w:val="both"/>
        <w:rPr>
          <w:rFonts w:ascii="Arial" w:eastAsia="Arial" w:hAnsi="Arial" w:cs="Arial"/>
          <w:b/>
          <w:bCs/>
          <w:sz w:val="22"/>
          <w:szCs w:val="22"/>
        </w:rPr>
      </w:pPr>
      <w:r w:rsidRPr="005D4494">
        <w:rPr>
          <w:rFonts w:ascii="Arial" w:eastAsia="Arial" w:hAnsi="Arial" w:cs="Arial"/>
          <w:sz w:val="22"/>
          <w:szCs w:val="22"/>
        </w:rPr>
        <w:t>As part of this process</w:t>
      </w:r>
      <w:r>
        <w:rPr>
          <w:rFonts w:ascii="Arial" w:eastAsia="Arial" w:hAnsi="Arial" w:cs="Arial"/>
          <w:sz w:val="22"/>
          <w:szCs w:val="22"/>
        </w:rPr>
        <w:t>, no comments or responses were gathered from the councillors or adjacent community councils.</w:t>
      </w:r>
      <w:r w:rsidRPr="005D4494" w:rsidDel="003D63AC">
        <w:rPr>
          <w:rFonts w:ascii="Arial" w:eastAsia="Arial" w:hAnsi="Arial" w:cs="Arial"/>
          <w:sz w:val="22"/>
          <w:szCs w:val="22"/>
          <w:highlight w:val="yellow"/>
        </w:rPr>
        <w:t xml:space="preserve"> </w:t>
      </w:r>
    </w:p>
    <w:p w14:paraId="14D69713" w14:textId="77777777" w:rsidR="00075FFE" w:rsidRDefault="00075FFE" w:rsidP="00075FFE">
      <w:pPr>
        <w:spacing w:line="276" w:lineRule="auto"/>
        <w:rPr>
          <w:rFonts w:ascii="Arial" w:eastAsia="Arial" w:hAnsi="Arial" w:cs="Arial"/>
          <w:b/>
          <w:bCs/>
          <w:sz w:val="22"/>
          <w:szCs w:val="22"/>
        </w:rPr>
      </w:pPr>
    </w:p>
    <w:p w14:paraId="076E81AF" w14:textId="77777777" w:rsidR="00075FFE" w:rsidRDefault="00075FFE" w:rsidP="00075FFE">
      <w:pPr>
        <w:spacing w:line="276" w:lineRule="auto"/>
        <w:jc w:val="both"/>
        <w:rPr>
          <w:rFonts w:ascii="Arial" w:eastAsia="Arial" w:hAnsi="Arial" w:cs="Arial"/>
          <w:sz w:val="22"/>
          <w:szCs w:val="22"/>
        </w:rPr>
      </w:pPr>
      <w:r w:rsidRPr="00046D02">
        <w:rPr>
          <w:rFonts w:ascii="Arial" w:eastAsia="Arial" w:hAnsi="Arial" w:cs="Arial"/>
          <w:sz w:val="22"/>
          <w:szCs w:val="22"/>
        </w:rPr>
        <w:t>No changes</w:t>
      </w:r>
      <w:r>
        <w:rPr>
          <w:rFonts w:ascii="Arial" w:eastAsia="Arial" w:hAnsi="Arial" w:cs="Arial"/>
          <w:sz w:val="22"/>
          <w:szCs w:val="22"/>
        </w:rPr>
        <w:t xml:space="preserve"> to the Local Place Plan were required or made following the </w:t>
      </w:r>
      <w:proofErr w:type="gramStart"/>
      <w:r>
        <w:rPr>
          <w:rFonts w:ascii="Arial" w:eastAsia="Arial" w:hAnsi="Arial" w:cs="Arial"/>
          <w:sz w:val="22"/>
          <w:szCs w:val="22"/>
        </w:rPr>
        <w:t>28 day</w:t>
      </w:r>
      <w:proofErr w:type="gramEnd"/>
      <w:r>
        <w:rPr>
          <w:rFonts w:ascii="Arial" w:eastAsia="Arial" w:hAnsi="Arial" w:cs="Arial"/>
          <w:sz w:val="22"/>
          <w:szCs w:val="22"/>
        </w:rPr>
        <w:t xml:space="preserve"> consultation.</w:t>
      </w:r>
    </w:p>
    <w:p w14:paraId="1C17FC69" w14:textId="77777777" w:rsidR="00075FFE" w:rsidRPr="005D4494" w:rsidRDefault="00075FFE" w:rsidP="00075FFE">
      <w:pPr>
        <w:spacing w:line="276" w:lineRule="auto"/>
        <w:rPr>
          <w:rFonts w:ascii="Arial" w:eastAsia="Arial" w:hAnsi="Arial" w:cs="Arial"/>
          <w:b/>
          <w:bCs/>
          <w:sz w:val="22"/>
          <w:szCs w:val="22"/>
        </w:rPr>
      </w:pPr>
    </w:p>
    <w:p w14:paraId="5F3B16AB" w14:textId="77777777" w:rsidR="00075FFE" w:rsidRPr="005D4494" w:rsidRDefault="00075FFE" w:rsidP="00075FFE">
      <w:pPr>
        <w:spacing w:line="276" w:lineRule="auto"/>
        <w:rPr>
          <w:rFonts w:ascii="Arial" w:eastAsia="Arial" w:hAnsi="Arial" w:cs="Arial"/>
          <w:b/>
          <w:bCs/>
          <w:sz w:val="22"/>
          <w:szCs w:val="22"/>
        </w:rPr>
      </w:pPr>
      <w:r w:rsidRPr="005D4494">
        <w:rPr>
          <w:rFonts w:ascii="Arial" w:eastAsia="Arial" w:hAnsi="Arial" w:cs="Arial"/>
          <w:b/>
          <w:bCs/>
          <w:sz w:val="22"/>
          <w:szCs w:val="22"/>
        </w:rPr>
        <w:t xml:space="preserve">Statement Showing Regard to Other Plans/Strategies </w:t>
      </w:r>
    </w:p>
    <w:p w14:paraId="78E185BE" w14:textId="77777777" w:rsidR="00075FFE" w:rsidRPr="005D4494" w:rsidRDefault="00075FFE" w:rsidP="00075FFE">
      <w:pPr>
        <w:spacing w:line="276" w:lineRule="auto"/>
        <w:rPr>
          <w:rFonts w:ascii="Arial" w:eastAsia="Arial" w:hAnsi="Arial" w:cs="Arial"/>
          <w:sz w:val="22"/>
          <w:szCs w:val="22"/>
        </w:rPr>
      </w:pPr>
    </w:p>
    <w:p w14:paraId="7ED4D23D" w14:textId="77777777" w:rsidR="00075FFE" w:rsidRDefault="00075FFE" w:rsidP="00075FFE">
      <w:pPr>
        <w:spacing w:after="120" w:line="276" w:lineRule="auto"/>
        <w:rPr>
          <w:rFonts w:ascii="Arial" w:hAnsi="Arial" w:cs="Arial"/>
          <w:sz w:val="22"/>
          <w:szCs w:val="22"/>
        </w:rPr>
      </w:pPr>
      <w:r w:rsidRPr="005D4494">
        <w:rPr>
          <w:rFonts w:ascii="Arial" w:eastAsia="Arial" w:hAnsi="Arial" w:cs="Arial"/>
          <w:sz w:val="22"/>
          <w:szCs w:val="22"/>
        </w:rPr>
        <w:t xml:space="preserve">In preparing the LPP, our community body has had regard to the </w:t>
      </w:r>
      <w:hyperlink r:id="rId9" w:history="1">
        <w:r w:rsidRPr="005D4494">
          <w:rPr>
            <w:rStyle w:val="Hyperlink"/>
            <w:rFonts w:ascii="Arial" w:eastAsia="Arial" w:hAnsi="Arial" w:cs="Arial"/>
            <w:sz w:val="22"/>
            <w:szCs w:val="22"/>
          </w:rPr>
          <w:t>National Planning Framework 4</w:t>
        </w:r>
      </w:hyperlink>
      <w:r w:rsidRPr="005D4494">
        <w:rPr>
          <w:rFonts w:ascii="Arial" w:hAnsi="Arial" w:cs="Arial"/>
          <w:color w:val="FF0000"/>
          <w:sz w:val="22"/>
          <w:szCs w:val="22"/>
        </w:rPr>
        <w:t xml:space="preserve">, </w:t>
      </w:r>
      <w:r w:rsidRPr="005D4494">
        <w:rPr>
          <w:rFonts w:ascii="Arial" w:hAnsi="Arial" w:cs="Arial"/>
          <w:sz w:val="22"/>
          <w:szCs w:val="22"/>
        </w:rPr>
        <w:t xml:space="preserve">which aims to create sustainable, liveable and productive places. These national policies are reflected in the priorities and actions summarised in the following sections of the Local Place Plan: </w:t>
      </w:r>
    </w:p>
    <w:p w14:paraId="4ABC7C2A" w14:textId="0ACE6429" w:rsidR="009A182D" w:rsidRDefault="009A182D" w:rsidP="00075FFE">
      <w:pPr>
        <w:spacing w:after="120" w:line="276" w:lineRule="auto"/>
        <w:rPr>
          <w:rFonts w:ascii="Arial" w:hAnsi="Arial" w:cs="Arial"/>
          <w:sz w:val="22"/>
          <w:szCs w:val="22"/>
        </w:rPr>
      </w:pPr>
      <w:r>
        <w:rPr>
          <w:rFonts w:ascii="Arial" w:hAnsi="Arial" w:cs="Arial"/>
          <w:sz w:val="22"/>
          <w:szCs w:val="22"/>
        </w:rPr>
        <w:t xml:space="preserve">Section 6 – Local Place Plan Proposals </w:t>
      </w:r>
    </w:p>
    <w:p w14:paraId="4772FCD6" w14:textId="3060583D" w:rsidR="00075FFE" w:rsidRDefault="00075FFE" w:rsidP="00075FFE">
      <w:pPr>
        <w:pStyle w:val="ListParagraph"/>
        <w:numPr>
          <w:ilvl w:val="0"/>
          <w:numId w:val="5"/>
        </w:numPr>
        <w:spacing w:after="120" w:line="276" w:lineRule="auto"/>
        <w:rPr>
          <w:rFonts w:ascii="Arial" w:hAnsi="Arial" w:cs="Arial"/>
          <w:sz w:val="22"/>
          <w:szCs w:val="22"/>
        </w:rPr>
      </w:pPr>
      <w:r>
        <w:rPr>
          <w:rFonts w:ascii="Arial" w:hAnsi="Arial" w:cs="Arial"/>
          <w:sz w:val="22"/>
          <w:szCs w:val="22"/>
        </w:rPr>
        <w:t xml:space="preserve">Moving around </w:t>
      </w:r>
      <w:r w:rsidR="009A182D">
        <w:rPr>
          <w:rFonts w:ascii="Arial" w:hAnsi="Arial" w:cs="Arial"/>
          <w:sz w:val="22"/>
          <w:szCs w:val="22"/>
        </w:rPr>
        <w:t xml:space="preserve">– pages 25 – 35 </w:t>
      </w:r>
    </w:p>
    <w:p w14:paraId="1EEE2888" w14:textId="6B94D3F2" w:rsidR="00075FFE" w:rsidRDefault="009A182D" w:rsidP="00075FFE">
      <w:pPr>
        <w:pStyle w:val="ListParagraph"/>
        <w:numPr>
          <w:ilvl w:val="0"/>
          <w:numId w:val="5"/>
        </w:numPr>
        <w:spacing w:after="120" w:line="276" w:lineRule="auto"/>
        <w:rPr>
          <w:rFonts w:ascii="Arial" w:hAnsi="Arial" w:cs="Arial"/>
          <w:sz w:val="22"/>
          <w:szCs w:val="22"/>
        </w:rPr>
      </w:pPr>
      <w:r>
        <w:rPr>
          <w:rFonts w:ascii="Arial" w:hAnsi="Arial" w:cs="Arial"/>
          <w:sz w:val="22"/>
          <w:szCs w:val="22"/>
        </w:rPr>
        <w:t xml:space="preserve">Spaces – pages 36 </w:t>
      </w:r>
      <w:r w:rsidR="004000A3">
        <w:rPr>
          <w:rFonts w:ascii="Arial" w:hAnsi="Arial" w:cs="Arial"/>
          <w:sz w:val="22"/>
          <w:szCs w:val="22"/>
        </w:rPr>
        <w:t>–</w:t>
      </w:r>
      <w:r>
        <w:rPr>
          <w:rFonts w:ascii="Arial" w:hAnsi="Arial" w:cs="Arial"/>
          <w:sz w:val="22"/>
          <w:szCs w:val="22"/>
        </w:rPr>
        <w:t xml:space="preserve"> </w:t>
      </w:r>
      <w:r w:rsidR="004000A3">
        <w:rPr>
          <w:rFonts w:ascii="Arial" w:hAnsi="Arial" w:cs="Arial"/>
          <w:sz w:val="22"/>
          <w:szCs w:val="22"/>
        </w:rPr>
        <w:t>39</w:t>
      </w:r>
    </w:p>
    <w:p w14:paraId="2B2A5839" w14:textId="00BF9633" w:rsidR="004000A3" w:rsidRDefault="004000A3" w:rsidP="00075FFE">
      <w:pPr>
        <w:pStyle w:val="ListParagraph"/>
        <w:numPr>
          <w:ilvl w:val="0"/>
          <w:numId w:val="5"/>
        </w:numPr>
        <w:spacing w:after="120" w:line="276" w:lineRule="auto"/>
        <w:rPr>
          <w:rFonts w:ascii="Arial" w:hAnsi="Arial" w:cs="Arial"/>
          <w:sz w:val="22"/>
          <w:szCs w:val="22"/>
        </w:rPr>
      </w:pPr>
      <w:r>
        <w:rPr>
          <w:rFonts w:ascii="Arial" w:hAnsi="Arial" w:cs="Arial"/>
          <w:sz w:val="22"/>
          <w:szCs w:val="22"/>
        </w:rPr>
        <w:t xml:space="preserve">Housing – pages 40 – 45 </w:t>
      </w:r>
    </w:p>
    <w:p w14:paraId="6AC81DB9" w14:textId="3FE209B3" w:rsidR="004000A3" w:rsidRDefault="004000A3" w:rsidP="00075FFE">
      <w:pPr>
        <w:pStyle w:val="ListParagraph"/>
        <w:numPr>
          <w:ilvl w:val="0"/>
          <w:numId w:val="5"/>
        </w:numPr>
        <w:spacing w:after="120" w:line="276" w:lineRule="auto"/>
        <w:rPr>
          <w:rFonts w:ascii="Arial" w:hAnsi="Arial" w:cs="Arial"/>
          <w:sz w:val="22"/>
          <w:szCs w:val="22"/>
        </w:rPr>
      </w:pPr>
      <w:r>
        <w:rPr>
          <w:rFonts w:ascii="Arial" w:hAnsi="Arial" w:cs="Arial"/>
          <w:sz w:val="22"/>
          <w:szCs w:val="22"/>
        </w:rPr>
        <w:t>Facilities – pages 46 – 47</w:t>
      </w:r>
    </w:p>
    <w:p w14:paraId="04A7BA08" w14:textId="7D0AADBE" w:rsidR="004000A3" w:rsidRDefault="004000A3" w:rsidP="00075FFE">
      <w:pPr>
        <w:pStyle w:val="ListParagraph"/>
        <w:numPr>
          <w:ilvl w:val="0"/>
          <w:numId w:val="5"/>
        </w:numPr>
        <w:spacing w:after="120" w:line="276" w:lineRule="auto"/>
        <w:rPr>
          <w:rFonts w:ascii="Arial" w:hAnsi="Arial" w:cs="Arial"/>
          <w:sz w:val="22"/>
          <w:szCs w:val="22"/>
        </w:rPr>
      </w:pPr>
      <w:r>
        <w:rPr>
          <w:rFonts w:ascii="Arial" w:hAnsi="Arial" w:cs="Arial"/>
          <w:sz w:val="22"/>
          <w:szCs w:val="22"/>
        </w:rPr>
        <w:t>Civic</w:t>
      </w:r>
      <w:r w:rsidR="00E61061">
        <w:rPr>
          <w:rFonts w:ascii="Arial" w:hAnsi="Arial" w:cs="Arial"/>
          <w:sz w:val="22"/>
          <w:szCs w:val="22"/>
        </w:rPr>
        <w:t xml:space="preserve">, </w:t>
      </w:r>
      <w:r>
        <w:rPr>
          <w:rFonts w:ascii="Arial" w:hAnsi="Arial" w:cs="Arial"/>
          <w:sz w:val="22"/>
          <w:szCs w:val="22"/>
        </w:rPr>
        <w:t>feeling safe – pages 48 – 50</w:t>
      </w:r>
    </w:p>
    <w:p w14:paraId="63CEC7E8" w14:textId="6A4D3181" w:rsidR="004000A3" w:rsidRDefault="004000A3" w:rsidP="00075FFE">
      <w:pPr>
        <w:pStyle w:val="ListParagraph"/>
        <w:numPr>
          <w:ilvl w:val="0"/>
          <w:numId w:val="5"/>
        </w:numPr>
        <w:spacing w:after="120" w:line="276" w:lineRule="auto"/>
        <w:rPr>
          <w:rFonts w:ascii="Arial" w:hAnsi="Arial" w:cs="Arial"/>
          <w:sz w:val="22"/>
          <w:szCs w:val="22"/>
        </w:rPr>
      </w:pPr>
      <w:r>
        <w:rPr>
          <w:rFonts w:ascii="Arial" w:hAnsi="Arial" w:cs="Arial"/>
          <w:sz w:val="22"/>
          <w:szCs w:val="22"/>
        </w:rPr>
        <w:t xml:space="preserve">Stewardship – pages 51 </w:t>
      </w:r>
      <w:r w:rsidR="00862551">
        <w:rPr>
          <w:rFonts w:ascii="Arial" w:hAnsi="Arial" w:cs="Arial"/>
          <w:sz w:val="22"/>
          <w:szCs w:val="22"/>
        </w:rPr>
        <w:t>–</w:t>
      </w:r>
      <w:r>
        <w:rPr>
          <w:rFonts w:ascii="Arial" w:hAnsi="Arial" w:cs="Arial"/>
          <w:sz w:val="22"/>
          <w:szCs w:val="22"/>
        </w:rPr>
        <w:t xml:space="preserve"> 54</w:t>
      </w:r>
    </w:p>
    <w:p w14:paraId="6CF9396E" w14:textId="77777777" w:rsidR="00862551" w:rsidRPr="009D7A51" w:rsidRDefault="00862551" w:rsidP="00862551">
      <w:pPr>
        <w:pStyle w:val="ListParagraph"/>
        <w:spacing w:after="120" w:line="276" w:lineRule="auto"/>
        <w:rPr>
          <w:rFonts w:ascii="Arial" w:hAnsi="Arial" w:cs="Arial"/>
          <w:sz w:val="22"/>
          <w:szCs w:val="22"/>
        </w:rPr>
      </w:pPr>
    </w:p>
    <w:p w14:paraId="3195B815" w14:textId="77777777" w:rsidR="00075FFE" w:rsidRPr="005D4494" w:rsidRDefault="00075FFE" w:rsidP="00075FFE">
      <w:pPr>
        <w:spacing w:line="276" w:lineRule="auto"/>
        <w:rPr>
          <w:rFonts w:ascii="Arial" w:hAnsi="Arial" w:cs="Arial"/>
          <w:sz w:val="22"/>
          <w:szCs w:val="22"/>
        </w:rPr>
      </w:pPr>
      <w:r w:rsidRPr="005D4494">
        <w:rPr>
          <w:rFonts w:ascii="Arial" w:hAnsi="Arial" w:cs="Arial"/>
          <w:sz w:val="22"/>
          <w:szCs w:val="22"/>
        </w:rPr>
        <w:t xml:space="preserve">This plan has also taken account of: </w:t>
      </w:r>
    </w:p>
    <w:p w14:paraId="57C3CCD4" w14:textId="77777777" w:rsidR="00075FFE" w:rsidRPr="005D4494" w:rsidRDefault="00075FFE" w:rsidP="00075FFE">
      <w:pPr>
        <w:pStyle w:val="ListParagraph"/>
        <w:numPr>
          <w:ilvl w:val="0"/>
          <w:numId w:val="2"/>
        </w:numPr>
        <w:spacing w:line="276" w:lineRule="auto"/>
        <w:rPr>
          <w:rFonts w:ascii="Arial" w:hAnsi="Arial" w:cs="Arial"/>
          <w:sz w:val="22"/>
          <w:szCs w:val="22"/>
        </w:rPr>
      </w:pPr>
      <w:r w:rsidRPr="005D4494">
        <w:rPr>
          <w:rFonts w:ascii="Arial" w:hAnsi="Arial" w:cs="Arial"/>
          <w:sz w:val="22"/>
          <w:szCs w:val="22"/>
        </w:rPr>
        <w:t xml:space="preserve">Loch Lomond and the Trossachs </w:t>
      </w:r>
      <w:hyperlink r:id="rId10" w:history="1">
        <w:r w:rsidRPr="005D4494">
          <w:rPr>
            <w:rStyle w:val="Hyperlink"/>
            <w:rFonts w:ascii="Arial" w:eastAsiaTheme="majorEastAsia" w:hAnsi="Arial" w:cs="Arial"/>
            <w:sz w:val="22"/>
            <w:szCs w:val="22"/>
          </w:rPr>
          <w:t>Local Development Plan</w:t>
        </w:r>
      </w:hyperlink>
      <w:r w:rsidRPr="005D4494">
        <w:rPr>
          <w:rFonts w:ascii="Arial" w:hAnsi="Arial" w:cs="Arial"/>
          <w:color w:val="FF0000"/>
          <w:sz w:val="22"/>
          <w:szCs w:val="22"/>
        </w:rPr>
        <w:t xml:space="preserve"> </w:t>
      </w:r>
      <w:r w:rsidRPr="005D4494">
        <w:rPr>
          <w:rFonts w:ascii="Arial" w:hAnsi="Arial" w:cs="Arial"/>
          <w:sz w:val="22"/>
          <w:szCs w:val="22"/>
        </w:rPr>
        <w:t xml:space="preserve">adopted in 2016 – which vision is to create thriving town and villages centres, more active travel options and off-road connections, a thriving economically active rural economy, support the </w:t>
      </w:r>
      <w:r w:rsidRPr="005D4494">
        <w:rPr>
          <w:rFonts w:ascii="Arial" w:hAnsi="Arial" w:cs="Arial"/>
          <w:sz w:val="22"/>
          <w:szCs w:val="22"/>
        </w:rPr>
        <w:lastRenderedPageBreak/>
        <w:t>needs of everyone, safeguarding historic buildings and precious natural and cultural assets as well as high quality development that enhances towns and villages</w:t>
      </w:r>
    </w:p>
    <w:p w14:paraId="0D95BAA2" w14:textId="77777777" w:rsidR="00075FFE" w:rsidRPr="005D4494" w:rsidRDefault="00075FFE" w:rsidP="00075FFE">
      <w:pPr>
        <w:pStyle w:val="ListParagraph"/>
        <w:numPr>
          <w:ilvl w:val="0"/>
          <w:numId w:val="2"/>
        </w:numPr>
        <w:spacing w:line="276" w:lineRule="auto"/>
        <w:rPr>
          <w:rStyle w:val="Hyperlink"/>
          <w:rFonts w:ascii="Arial" w:eastAsiaTheme="majorEastAsia" w:hAnsi="Arial" w:cs="Arial"/>
          <w:color w:val="auto"/>
          <w:sz w:val="22"/>
          <w:szCs w:val="22"/>
        </w:rPr>
      </w:pPr>
      <w:r w:rsidRPr="005D4494">
        <w:rPr>
          <w:rFonts w:ascii="Arial" w:hAnsi="Arial" w:cs="Arial"/>
          <w:sz w:val="22"/>
          <w:szCs w:val="22"/>
        </w:rPr>
        <w:t xml:space="preserve">Loch Lomond and the Trossachs </w:t>
      </w:r>
      <w:hyperlink r:id="rId11" w:anchor=":~:text=What%20is%20the%20National%20Park,future%20for%20this%20iconic%20place." w:history="1">
        <w:r w:rsidRPr="005D4494">
          <w:rPr>
            <w:rStyle w:val="Hyperlink"/>
            <w:rFonts w:ascii="Arial" w:eastAsiaTheme="majorEastAsia" w:hAnsi="Arial" w:cs="Arial"/>
            <w:color w:val="auto"/>
            <w:sz w:val="22"/>
            <w:szCs w:val="22"/>
          </w:rPr>
          <w:t>National Park Plan 2018-2023</w:t>
        </w:r>
      </w:hyperlink>
    </w:p>
    <w:p w14:paraId="4425959E" w14:textId="74FEAD0D" w:rsidR="00075FFE" w:rsidRPr="005D4494" w:rsidRDefault="00862551" w:rsidP="00075FFE">
      <w:pPr>
        <w:pStyle w:val="ListParagraph"/>
        <w:numPr>
          <w:ilvl w:val="0"/>
          <w:numId w:val="2"/>
        </w:numPr>
        <w:spacing w:after="120" w:line="276" w:lineRule="auto"/>
        <w:rPr>
          <w:rFonts w:ascii="Arial" w:hAnsi="Arial" w:cs="Arial"/>
          <w:sz w:val="22"/>
          <w:szCs w:val="22"/>
        </w:rPr>
      </w:pPr>
      <w:r>
        <w:rPr>
          <w:rFonts w:ascii="Arial" w:eastAsia="Arial" w:hAnsi="Arial" w:cs="Arial"/>
          <w:sz w:val="22"/>
          <w:szCs w:val="22"/>
        </w:rPr>
        <w:t>Stirling Council Local Development Plan 2018</w:t>
      </w:r>
    </w:p>
    <w:p w14:paraId="70E9B426" w14:textId="77777777" w:rsidR="00075FFE" w:rsidRPr="005D4494" w:rsidRDefault="00075FFE" w:rsidP="00075FFE">
      <w:pPr>
        <w:spacing w:line="276" w:lineRule="auto"/>
        <w:rPr>
          <w:rFonts w:ascii="Arial" w:eastAsia="Arial" w:hAnsi="Arial" w:cs="Arial"/>
          <w:b/>
          <w:bCs/>
          <w:sz w:val="22"/>
          <w:szCs w:val="22"/>
        </w:rPr>
      </w:pPr>
    </w:p>
    <w:p w14:paraId="50B10945" w14:textId="77777777" w:rsidR="00075FFE" w:rsidRDefault="00075FFE" w:rsidP="00075FFE">
      <w:pPr>
        <w:spacing w:line="276" w:lineRule="auto"/>
        <w:rPr>
          <w:rFonts w:ascii="Arial" w:eastAsia="Arial" w:hAnsi="Arial" w:cs="Arial"/>
          <w:b/>
          <w:bCs/>
          <w:sz w:val="22"/>
          <w:szCs w:val="22"/>
        </w:rPr>
      </w:pPr>
      <w:r>
        <w:rPr>
          <w:rFonts w:ascii="Arial" w:eastAsia="Arial" w:hAnsi="Arial" w:cs="Arial"/>
          <w:b/>
          <w:bCs/>
          <w:sz w:val="22"/>
          <w:szCs w:val="22"/>
        </w:rPr>
        <w:t>Engagement evidence</w:t>
      </w:r>
    </w:p>
    <w:p w14:paraId="32BD7276" w14:textId="1BC90C36" w:rsidR="00075FFE" w:rsidRDefault="00075FFE" w:rsidP="00075FFE">
      <w:pPr>
        <w:spacing w:line="276" w:lineRule="auto"/>
        <w:rPr>
          <w:rFonts w:ascii="Arial" w:eastAsia="Arial" w:hAnsi="Arial" w:cs="Arial"/>
          <w:b/>
          <w:bCs/>
          <w:sz w:val="22"/>
          <w:szCs w:val="22"/>
        </w:rPr>
      </w:pPr>
      <w:r>
        <w:rPr>
          <w:rFonts w:ascii="Arial" w:eastAsia="Arial" w:hAnsi="Arial" w:cs="Arial"/>
          <w:sz w:val="22"/>
          <w:szCs w:val="22"/>
        </w:rPr>
        <w:t xml:space="preserve">Our community body has demonstrated that there is support for the priorities and proposals in our LPP as demonstrated in the information set out on pages </w:t>
      </w:r>
      <w:r w:rsidR="004000A3">
        <w:rPr>
          <w:rFonts w:ascii="Arial" w:eastAsia="Arial" w:hAnsi="Arial" w:cs="Arial"/>
          <w:sz w:val="22"/>
          <w:szCs w:val="22"/>
        </w:rPr>
        <w:t xml:space="preserve">22 – 24. </w:t>
      </w:r>
    </w:p>
    <w:p w14:paraId="28DCDCE7" w14:textId="77777777" w:rsidR="00075FFE" w:rsidRDefault="00075FFE" w:rsidP="00075FFE">
      <w:pPr>
        <w:spacing w:line="276" w:lineRule="auto"/>
        <w:rPr>
          <w:rFonts w:ascii="Arial" w:eastAsia="Arial" w:hAnsi="Arial" w:cs="Arial"/>
          <w:b/>
          <w:bCs/>
          <w:sz w:val="22"/>
          <w:szCs w:val="22"/>
        </w:rPr>
      </w:pPr>
    </w:p>
    <w:p w14:paraId="3C13610F" w14:textId="77777777" w:rsidR="00075FFE" w:rsidRPr="009D7A51" w:rsidRDefault="00075FFE" w:rsidP="00075FFE">
      <w:pPr>
        <w:spacing w:after="120" w:line="276" w:lineRule="auto"/>
        <w:rPr>
          <w:rFonts w:ascii="Arial" w:eastAsia="Arial" w:hAnsi="Arial" w:cs="Arial"/>
          <w:sz w:val="22"/>
          <w:szCs w:val="22"/>
        </w:rPr>
      </w:pPr>
      <w:r w:rsidRPr="009D7A51">
        <w:rPr>
          <w:rFonts w:ascii="Arial" w:eastAsia="Arial" w:hAnsi="Arial" w:cs="Arial"/>
          <w:sz w:val="22"/>
          <w:szCs w:val="22"/>
        </w:rPr>
        <w:t xml:space="preserve">EITHER WITHIN THE LPP OR HERE, THE FOLLOWING MUST BE PROVIDED: </w:t>
      </w:r>
    </w:p>
    <w:tbl>
      <w:tblPr>
        <w:tblStyle w:val="TableGrid"/>
        <w:tblW w:w="9498" w:type="dxa"/>
        <w:tblInd w:w="-5" w:type="dxa"/>
        <w:tblLook w:val="04A0" w:firstRow="1" w:lastRow="0" w:firstColumn="1" w:lastColumn="0" w:noHBand="0" w:noVBand="1"/>
      </w:tblPr>
      <w:tblGrid>
        <w:gridCol w:w="9498"/>
      </w:tblGrid>
      <w:tr w:rsidR="00075FFE" w:rsidRPr="009D7A51" w14:paraId="078B3622" w14:textId="77777777" w:rsidTr="00645944">
        <w:tc>
          <w:tcPr>
            <w:tcW w:w="5103" w:type="dxa"/>
          </w:tcPr>
          <w:p w14:paraId="4E7F5FCE" w14:textId="77777777" w:rsidR="00075FFE" w:rsidRPr="009D7A51" w:rsidRDefault="00075FFE" w:rsidP="00075FFE">
            <w:pPr>
              <w:pStyle w:val="Default"/>
              <w:numPr>
                <w:ilvl w:val="0"/>
                <w:numId w:val="3"/>
              </w:numPr>
              <w:spacing w:after="120"/>
              <w:jc w:val="both"/>
            </w:pPr>
            <w:r w:rsidRPr="009D7A51">
              <w:t>A brief description of the engagement and consultation activity or activities</w:t>
            </w:r>
          </w:p>
        </w:tc>
      </w:tr>
      <w:tr w:rsidR="00075FFE" w:rsidRPr="009D7A51" w14:paraId="13ED84CD" w14:textId="77777777" w:rsidTr="00645944">
        <w:tc>
          <w:tcPr>
            <w:tcW w:w="5103" w:type="dxa"/>
          </w:tcPr>
          <w:p w14:paraId="02A87718" w14:textId="77777777" w:rsidR="00075FFE" w:rsidRPr="009D7A51" w:rsidRDefault="00075FFE" w:rsidP="00075FFE">
            <w:pPr>
              <w:pStyle w:val="Default"/>
              <w:numPr>
                <w:ilvl w:val="0"/>
                <w:numId w:val="3"/>
              </w:numPr>
              <w:spacing w:after="120"/>
              <w:jc w:val="both"/>
            </w:pPr>
            <w:r w:rsidRPr="009D7A51">
              <w:t>An estimation of the number of interests of people/organisations involved (that would be in a survey or workshop)</w:t>
            </w:r>
          </w:p>
        </w:tc>
      </w:tr>
      <w:tr w:rsidR="00075FFE" w:rsidRPr="005D4494" w14:paraId="67A477A2" w14:textId="77777777" w:rsidTr="00645944">
        <w:tc>
          <w:tcPr>
            <w:tcW w:w="5103" w:type="dxa"/>
          </w:tcPr>
          <w:p w14:paraId="1A0C5EFB" w14:textId="77777777" w:rsidR="00075FFE" w:rsidRPr="009D7A51" w:rsidRDefault="00075FFE" w:rsidP="00075FFE">
            <w:pPr>
              <w:pStyle w:val="Default"/>
              <w:numPr>
                <w:ilvl w:val="0"/>
                <w:numId w:val="3"/>
              </w:numPr>
              <w:spacing w:after="120"/>
              <w:jc w:val="both"/>
            </w:pPr>
            <w:r w:rsidRPr="009D7A51">
              <w:t>A summary of the views expressed in both support and opposition</w:t>
            </w:r>
          </w:p>
        </w:tc>
      </w:tr>
    </w:tbl>
    <w:p w14:paraId="2B8E6163" w14:textId="77777777" w:rsidR="00075FFE" w:rsidRDefault="00075FFE" w:rsidP="00075FFE">
      <w:pPr>
        <w:spacing w:line="276" w:lineRule="auto"/>
        <w:rPr>
          <w:rFonts w:ascii="Arial" w:eastAsia="Arial" w:hAnsi="Arial" w:cs="Arial"/>
          <w:b/>
          <w:bCs/>
          <w:sz w:val="22"/>
          <w:szCs w:val="22"/>
        </w:rPr>
      </w:pPr>
    </w:p>
    <w:p w14:paraId="103ADD26" w14:textId="77777777" w:rsidR="00075FFE" w:rsidRPr="005D4494" w:rsidRDefault="00075FFE" w:rsidP="00075FFE">
      <w:pPr>
        <w:spacing w:line="276" w:lineRule="auto"/>
        <w:rPr>
          <w:rFonts w:ascii="Arial" w:eastAsia="Arial" w:hAnsi="Arial" w:cs="Arial"/>
          <w:b/>
          <w:bCs/>
          <w:sz w:val="22"/>
          <w:szCs w:val="22"/>
        </w:rPr>
      </w:pPr>
      <w:r w:rsidRPr="005D4494">
        <w:rPr>
          <w:rFonts w:ascii="Arial" w:eastAsia="Arial" w:hAnsi="Arial" w:cs="Arial"/>
          <w:b/>
          <w:bCs/>
          <w:sz w:val="22"/>
          <w:szCs w:val="22"/>
        </w:rPr>
        <w:t>Statement Setting Out LDP Amendments</w:t>
      </w:r>
    </w:p>
    <w:p w14:paraId="3D42A78A" w14:textId="77777777" w:rsidR="00075FFE" w:rsidRPr="005D4494" w:rsidRDefault="00075FFE" w:rsidP="00075FFE">
      <w:pPr>
        <w:spacing w:line="276" w:lineRule="auto"/>
        <w:rPr>
          <w:rFonts w:ascii="Arial" w:eastAsia="Arial" w:hAnsi="Arial" w:cs="Arial"/>
          <w:sz w:val="22"/>
          <w:szCs w:val="22"/>
        </w:rPr>
      </w:pPr>
    </w:p>
    <w:p w14:paraId="362AFA22" w14:textId="2CA7FD64" w:rsidR="00862551" w:rsidRDefault="00075FFE" w:rsidP="00075FFE">
      <w:pPr>
        <w:spacing w:line="276" w:lineRule="auto"/>
        <w:rPr>
          <w:rFonts w:ascii="Arial" w:eastAsia="Arial" w:hAnsi="Arial" w:cs="Arial"/>
          <w:sz w:val="22"/>
          <w:szCs w:val="22"/>
        </w:rPr>
      </w:pPr>
      <w:r w:rsidRPr="005D4494">
        <w:rPr>
          <w:rFonts w:ascii="Arial" w:eastAsia="Arial" w:hAnsi="Arial" w:cs="Arial"/>
          <w:sz w:val="22"/>
          <w:szCs w:val="22"/>
        </w:rPr>
        <w:t>This LPP considers the following amendments should be made to the current Local Development Plan 2016</w:t>
      </w:r>
      <w:r w:rsidR="00862551">
        <w:rPr>
          <w:rFonts w:ascii="Arial" w:eastAsia="Arial" w:hAnsi="Arial" w:cs="Arial"/>
          <w:sz w:val="22"/>
          <w:szCs w:val="22"/>
        </w:rPr>
        <w:t>:</w:t>
      </w:r>
    </w:p>
    <w:p w14:paraId="7D26B0C1" w14:textId="77777777" w:rsidR="00075FFE" w:rsidRDefault="00075FFE" w:rsidP="00075FFE">
      <w:pPr>
        <w:spacing w:line="276" w:lineRule="auto"/>
        <w:rPr>
          <w:rFonts w:ascii="Arial" w:eastAsia="Arial" w:hAnsi="Arial" w:cs="Arial"/>
          <w:sz w:val="22"/>
          <w:szCs w:val="22"/>
        </w:rPr>
      </w:pPr>
    </w:p>
    <w:tbl>
      <w:tblPr>
        <w:tblW w:w="0" w:type="auto"/>
        <w:tblCellMar>
          <w:left w:w="0" w:type="dxa"/>
          <w:right w:w="0" w:type="dxa"/>
        </w:tblCellMar>
        <w:tblLook w:val="04A0" w:firstRow="1" w:lastRow="0" w:firstColumn="1" w:lastColumn="0" w:noHBand="0" w:noVBand="1"/>
      </w:tblPr>
      <w:tblGrid>
        <w:gridCol w:w="2859"/>
        <w:gridCol w:w="3248"/>
        <w:gridCol w:w="2899"/>
      </w:tblGrid>
      <w:tr w:rsidR="00862551" w:rsidRPr="00A9601F" w14:paraId="36C776BD" w14:textId="77777777" w:rsidTr="00700D8B">
        <w:trPr>
          <w:tblHeader/>
        </w:trPr>
        <w:tc>
          <w:tcPr>
            <w:tcW w:w="28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81C2A" w14:textId="77777777" w:rsidR="00862551" w:rsidRPr="00A9601F" w:rsidRDefault="00862551" w:rsidP="00700D8B">
            <w:pPr>
              <w:spacing w:line="276" w:lineRule="auto"/>
              <w:rPr>
                <w:rFonts w:ascii="Arial" w:eastAsiaTheme="minorHAnsi" w:hAnsi="Arial" w:cs="Arial"/>
                <w:b/>
                <w:bCs/>
                <w:sz w:val="22"/>
                <w:szCs w:val="22"/>
                <w:lang w:eastAsia="en-US"/>
              </w:rPr>
            </w:pPr>
            <w:r w:rsidRPr="00A9601F">
              <w:rPr>
                <w:rFonts w:ascii="Arial" w:hAnsi="Arial" w:cs="Arial"/>
                <w:b/>
                <w:bCs/>
                <w:sz w:val="22"/>
                <w:szCs w:val="22"/>
                <w:lang w:eastAsia="en-US"/>
              </w:rPr>
              <w:t>Priority in LPP</w:t>
            </w: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D3587" w14:textId="77777777" w:rsidR="00862551" w:rsidRPr="00A9601F" w:rsidRDefault="00862551" w:rsidP="00700D8B">
            <w:pPr>
              <w:spacing w:line="276" w:lineRule="auto"/>
              <w:rPr>
                <w:rFonts w:ascii="Arial" w:hAnsi="Arial" w:cs="Arial"/>
                <w:b/>
                <w:bCs/>
                <w:sz w:val="22"/>
                <w:szCs w:val="22"/>
                <w:lang w:eastAsia="en-US"/>
              </w:rPr>
            </w:pPr>
            <w:r w:rsidRPr="00A9601F">
              <w:rPr>
                <w:rFonts w:ascii="Arial" w:hAnsi="Arial" w:cs="Arial"/>
                <w:b/>
                <w:bCs/>
                <w:sz w:val="22"/>
                <w:szCs w:val="22"/>
                <w:lang w:eastAsia="en-US"/>
              </w:rPr>
              <w:t>Suggestion/Proposal/Priority</w:t>
            </w:r>
          </w:p>
        </w:tc>
        <w:tc>
          <w:tcPr>
            <w:tcW w:w="2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B2D58" w14:textId="77777777" w:rsidR="00862551" w:rsidRPr="00A9601F" w:rsidRDefault="00862551" w:rsidP="00700D8B">
            <w:pPr>
              <w:spacing w:line="276" w:lineRule="auto"/>
              <w:rPr>
                <w:rFonts w:ascii="Arial" w:hAnsi="Arial" w:cs="Arial"/>
                <w:b/>
                <w:bCs/>
                <w:sz w:val="22"/>
                <w:szCs w:val="22"/>
                <w:lang w:eastAsia="en-US"/>
              </w:rPr>
            </w:pPr>
            <w:r w:rsidRPr="00A9601F">
              <w:rPr>
                <w:rFonts w:ascii="Arial" w:hAnsi="Arial" w:cs="Arial"/>
                <w:b/>
                <w:bCs/>
                <w:sz w:val="22"/>
                <w:szCs w:val="22"/>
                <w:lang w:eastAsia="en-US"/>
              </w:rPr>
              <w:t>Suggested amendment/ consideration for LDP</w:t>
            </w:r>
          </w:p>
        </w:tc>
      </w:tr>
      <w:tr w:rsidR="00862551" w:rsidRPr="00A9601F" w14:paraId="1E5D0AD9" w14:textId="77777777" w:rsidTr="00700D8B">
        <w:tc>
          <w:tcPr>
            <w:tcW w:w="2859" w:type="dxa"/>
            <w:tcBorders>
              <w:top w:val="nil"/>
              <w:left w:val="single" w:sz="8" w:space="0" w:color="auto"/>
              <w:bottom w:val="nil"/>
              <w:right w:val="single" w:sz="8" w:space="0" w:color="auto"/>
            </w:tcBorders>
            <w:tcMar>
              <w:top w:w="0" w:type="dxa"/>
              <w:left w:w="108" w:type="dxa"/>
              <w:bottom w:w="0" w:type="dxa"/>
              <w:right w:w="108" w:type="dxa"/>
            </w:tcMar>
          </w:tcPr>
          <w:p w14:paraId="1D230E79" w14:textId="77777777" w:rsidR="00862551" w:rsidRPr="00A9601F" w:rsidRDefault="00862551" w:rsidP="00700D8B">
            <w:pPr>
              <w:rPr>
                <w:rFonts w:ascii="Arial" w:hAnsi="Arial" w:cs="Arial"/>
                <w:i/>
                <w:iCs/>
                <w:color w:val="FF0000"/>
                <w:sz w:val="22"/>
                <w:szCs w:val="22"/>
              </w:rPr>
            </w:pPr>
            <w:r w:rsidRPr="00A9601F">
              <w:rPr>
                <w:rFonts w:ascii="Arial" w:hAnsi="Arial" w:cs="Arial"/>
                <w:sz w:val="22"/>
                <w:szCs w:val="22"/>
              </w:rPr>
              <w:t>Moving Around – Proposal 1</w:t>
            </w:r>
            <w:r w:rsidRPr="00A9601F">
              <w:rPr>
                <w:rFonts w:ascii="Arial" w:hAnsi="Arial" w:cs="Arial"/>
                <w:i/>
                <w:iCs/>
                <w:color w:val="FF0000"/>
                <w:sz w:val="22"/>
                <w:szCs w:val="22"/>
              </w:rPr>
              <w:t xml:space="preserve"> </w:t>
            </w:r>
          </w:p>
        </w:tc>
        <w:tc>
          <w:tcPr>
            <w:tcW w:w="3248" w:type="dxa"/>
            <w:tcBorders>
              <w:top w:val="nil"/>
              <w:left w:val="nil"/>
              <w:bottom w:val="nil"/>
              <w:right w:val="single" w:sz="8" w:space="0" w:color="auto"/>
            </w:tcBorders>
            <w:tcMar>
              <w:top w:w="0" w:type="dxa"/>
              <w:left w:w="108" w:type="dxa"/>
              <w:bottom w:w="0" w:type="dxa"/>
              <w:right w:w="108" w:type="dxa"/>
            </w:tcMar>
          </w:tcPr>
          <w:p w14:paraId="64EEFB51" w14:textId="77777777" w:rsidR="00862551" w:rsidRPr="00A9601F" w:rsidRDefault="00862551" w:rsidP="00700D8B">
            <w:pPr>
              <w:spacing w:line="276" w:lineRule="auto"/>
              <w:rPr>
                <w:rFonts w:ascii="Arial" w:hAnsi="Arial" w:cs="Arial"/>
                <w:i/>
                <w:iCs/>
                <w:color w:val="FF0000"/>
                <w:sz w:val="22"/>
                <w:szCs w:val="22"/>
                <w:lang w:eastAsia="en-US"/>
              </w:rPr>
            </w:pPr>
            <w:r w:rsidRPr="00A9601F">
              <w:rPr>
                <w:rFonts w:ascii="Arial" w:hAnsi="Arial" w:cs="Arial"/>
                <w:color w:val="000000"/>
                <w:sz w:val="22"/>
                <w:szCs w:val="22"/>
              </w:rPr>
              <w:t xml:space="preserve">The Port of Menteith Village Hall and bus shelter should be developed as the main community mobility hub, with supporting transport nodes at Dykehead, </w:t>
            </w:r>
            <w:proofErr w:type="spellStart"/>
            <w:r w:rsidRPr="00A9601F">
              <w:rPr>
                <w:rFonts w:ascii="Arial" w:hAnsi="Arial" w:cs="Arial"/>
                <w:color w:val="000000"/>
                <w:sz w:val="22"/>
                <w:szCs w:val="22"/>
              </w:rPr>
              <w:t>Lochend</w:t>
            </w:r>
            <w:proofErr w:type="spellEnd"/>
            <w:r w:rsidRPr="00A9601F">
              <w:rPr>
                <w:rFonts w:ascii="Arial" w:hAnsi="Arial" w:cs="Arial"/>
                <w:color w:val="000000"/>
                <w:sz w:val="22"/>
                <w:szCs w:val="22"/>
              </w:rPr>
              <w:t xml:space="preserve">, Hammersmith Junction, </w:t>
            </w:r>
            <w:proofErr w:type="spellStart"/>
            <w:r w:rsidRPr="00A9601F">
              <w:rPr>
                <w:rFonts w:ascii="Arial" w:hAnsi="Arial" w:cs="Arial"/>
                <w:color w:val="000000"/>
                <w:sz w:val="22"/>
                <w:szCs w:val="22"/>
              </w:rPr>
              <w:t>Blairhoyle</w:t>
            </w:r>
            <w:proofErr w:type="spellEnd"/>
            <w:r w:rsidRPr="00A9601F">
              <w:rPr>
                <w:rFonts w:ascii="Arial" w:hAnsi="Arial" w:cs="Arial"/>
                <w:color w:val="000000"/>
                <w:sz w:val="22"/>
                <w:szCs w:val="22"/>
              </w:rPr>
              <w:t xml:space="preserve">, and </w:t>
            </w:r>
            <w:proofErr w:type="spellStart"/>
            <w:r w:rsidRPr="00A9601F">
              <w:rPr>
                <w:rFonts w:ascii="Arial" w:hAnsi="Arial" w:cs="Arial"/>
                <w:color w:val="000000"/>
                <w:sz w:val="22"/>
                <w:szCs w:val="22"/>
              </w:rPr>
              <w:t>Ruskie</w:t>
            </w:r>
            <w:proofErr w:type="spellEnd"/>
            <w:r w:rsidRPr="00A9601F">
              <w:rPr>
                <w:rFonts w:ascii="Arial" w:hAnsi="Arial" w:cs="Arial"/>
                <w:color w:val="000000"/>
                <w:sz w:val="22"/>
                <w:szCs w:val="22"/>
              </w:rPr>
              <w:t xml:space="preserve">. The hub should meet </w:t>
            </w:r>
            <w:proofErr w:type="spellStart"/>
            <w:r w:rsidRPr="00A9601F">
              <w:rPr>
                <w:rFonts w:ascii="Arial" w:hAnsi="Arial" w:cs="Arial"/>
                <w:color w:val="000000"/>
                <w:sz w:val="22"/>
                <w:szCs w:val="22"/>
              </w:rPr>
              <w:t>CoMoUK</w:t>
            </w:r>
            <w:proofErr w:type="spellEnd"/>
            <w:r w:rsidRPr="00A9601F">
              <w:rPr>
                <w:rFonts w:ascii="Arial" w:hAnsi="Arial" w:cs="Arial"/>
                <w:color w:val="000000"/>
                <w:sz w:val="22"/>
                <w:szCs w:val="22"/>
              </w:rPr>
              <w:t xml:space="preserve"> standards by providing sustainable transport options, clear visibility, easy connections, safety, practical facilities, and attractive design. Community action is essential to ensure accessible, affordable, and low-carbon travel, reducing transport poverty and supporting healthier, more resilient transport choices.</w:t>
            </w:r>
          </w:p>
        </w:tc>
        <w:tc>
          <w:tcPr>
            <w:tcW w:w="2899" w:type="dxa"/>
            <w:tcBorders>
              <w:top w:val="nil"/>
              <w:left w:val="nil"/>
              <w:bottom w:val="nil"/>
              <w:right w:val="single" w:sz="8" w:space="0" w:color="auto"/>
            </w:tcBorders>
            <w:tcMar>
              <w:top w:w="0" w:type="dxa"/>
              <w:left w:w="108" w:type="dxa"/>
              <w:bottom w:w="0" w:type="dxa"/>
              <w:right w:w="108" w:type="dxa"/>
            </w:tcMar>
          </w:tcPr>
          <w:p w14:paraId="3F2C3794"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Incorporating the Port of Menteith Mobility Hub into the LDP would align with key planning priorities around sustainable transport, accessibility, and community well-being. he LDP could formally identify the hub as a priority project with policies to support its development, design standards, and community-led delivery.</w:t>
            </w:r>
          </w:p>
        </w:tc>
      </w:tr>
      <w:tr w:rsidR="00862551" w:rsidRPr="00A9601F" w14:paraId="584F36B3" w14:textId="77777777" w:rsidTr="00700D8B">
        <w:tc>
          <w:tcPr>
            <w:tcW w:w="2859" w:type="dxa"/>
            <w:tcBorders>
              <w:top w:val="nil"/>
              <w:left w:val="single" w:sz="8" w:space="0" w:color="auto"/>
              <w:bottom w:val="nil"/>
              <w:right w:val="single" w:sz="8" w:space="0" w:color="auto"/>
            </w:tcBorders>
            <w:tcMar>
              <w:top w:w="0" w:type="dxa"/>
              <w:left w:w="108" w:type="dxa"/>
              <w:bottom w:w="0" w:type="dxa"/>
              <w:right w:w="108" w:type="dxa"/>
            </w:tcMar>
          </w:tcPr>
          <w:p w14:paraId="7275F7C0" w14:textId="77777777" w:rsidR="00862551" w:rsidRPr="00A9601F" w:rsidRDefault="00862551" w:rsidP="00700D8B">
            <w:pPr>
              <w:spacing w:line="276" w:lineRule="auto"/>
              <w:rPr>
                <w:rFonts w:ascii="Arial" w:hAnsi="Arial" w:cs="Arial"/>
                <w:i/>
                <w:iCs/>
                <w:sz w:val="22"/>
                <w:szCs w:val="22"/>
                <w:lang w:eastAsia="en-US"/>
              </w:rPr>
            </w:pPr>
          </w:p>
        </w:tc>
        <w:tc>
          <w:tcPr>
            <w:tcW w:w="3248" w:type="dxa"/>
            <w:tcBorders>
              <w:top w:val="nil"/>
              <w:left w:val="nil"/>
              <w:bottom w:val="nil"/>
              <w:right w:val="single" w:sz="8" w:space="0" w:color="auto"/>
            </w:tcBorders>
            <w:tcMar>
              <w:top w:w="0" w:type="dxa"/>
              <w:left w:w="108" w:type="dxa"/>
              <w:bottom w:w="0" w:type="dxa"/>
              <w:right w:w="108" w:type="dxa"/>
            </w:tcMar>
          </w:tcPr>
          <w:p w14:paraId="32AE878C" w14:textId="77777777" w:rsidR="00862551" w:rsidRPr="00A9601F" w:rsidRDefault="00862551" w:rsidP="00700D8B">
            <w:pPr>
              <w:spacing w:line="276" w:lineRule="auto"/>
              <w:rPr>
                <w:rFonts w:ascii="Arial" w:hAnsi="Arial" w:cs="Arial"/>
                <w:i/>
                <w:iCs/>
                <w:color w:val="FF0000"/>
                <w:sz w:val="22"/>
                <w:szCs w:val="22"/>
                <w:lang w:eastAsia="en-US"/>
              </w:rPr>
            </w:pPr>
          </w:p>
        </w:tc>
        <w:tc>
          <w:tcPr>
            <w:tcW w:w="2899" w:type="dxa"/>
            <w:tcBorders>
              <w:top w:val="nil"/>
              <w:left w:val="nil"/>
              <w:bottom w:val="nil"/>
              <w:right w:val="single" w:sz="8" w:space="0" w:color="auto"/>
            </w:tcBorders>
            <w:tcMar>
              <w:top w:w="0" w:type="dxa"/>
              <w:left w:w="108" w:type="dxa"/>
              <w:bottom w:w="0" w:type="dxa"/>
              <w:right w:w="108" w:type="dxa"/>
            </w:tcMar>
          </w:tcPr>
          <w:p w14:paraId="6C92D701" w14:textId="77777777" w:rsidR="00862551" w:rsidRPr="00A9601F" w:rsidRDefault="00862551" w:rsidP="00700D8B">
            <w:pPr>
              <w:rPr>
                <w:rFonts w:ascii="Arial" w:hAnsi="Arial" w:cs="Arial"/>
                <w:color w:val="000000"/>
                <w:sz w:val="22"/>
                <w:szCs w:val="22"/>
              </w:rPr>
            </w:pPr>
          </w:p>
        </w:tc>
      </w:tr>
      <w:tr w:rsidR="00862551" w:rsidRPr="00A9601F" w14:paraId="748E90CB"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25C3F" w14:textId="77777777" w:rsidR="00862551" w:rsidRPr="00A9601F" w:rsidRDefault="00862551" w:rsidP="00700D8B">
            <w:pPr>
              <w:spacing w:line="276" w:lineRule="auto"/>
              <w:rPr>
                <w:rFonts w:ascii="Arial" w:hAnsi="Arial" w:cs="Arial"/>
                <w:i/>
                <w:iCs/>
                <w:sz w:val="22"/>
                <w:szCs w:val="22"/>
                <w:lang w:eastAsia="en-US"/>
              </w:rPr>
            </w:pP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79C9DA50" w14:textId="77777777" w:rsidR="00862551" w:rsidRPr="00A9601F" w:rsidRDefault="00862551" w:rsidP="00700D8B">
            <w:pPr>
              <w:spacing w:line="276" w:lineRule="auto"/>
              <w:rPr>
                <w:rFonts w:ascii="Arial" w:hAnsi="Arial" w:cs="Arial"/>
                <w:i/>
                <w:iCs/>
                <w:color w:val="FF0000"/>
                <w:sz w:val="22"/>
                <w:szCs w:val="22"/>
                <w:lang w:eastAsia="en-US"/>
              </w:rPr>
            </w:pP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4FC931F6" w14:textId="77777777" w:rsidR="00862551" w:rsidRPr="00A9601F" w:rsidRDefault="00862551" w:rsidP="00700D8B">
            <w:pPr>
              <w:spacing w:line="276" w:lineRule="auto"/>
              <w:rPr>
                <w:rFonts w:ascii="Arial" w:hAnsi="Arial" w:cs="Arial"/>
                <w:i/>
                <w:iCs/>
                <w:color w:val="FF0000"/>
                <w:sz w:val="22"/>
                <w:szCs w:val="22"/>
                <w:lang w:eastAsia="en-US"/>
              </w:rPr>
            </w:pPr>
          </w:p>
        </w:tc>
      </w:tr>
      <w:tr w:rsidR="00862551" w:rsidRPr="00A9601F" w14:paraId="6F19BABD"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5A134"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lastRenderedPageBreak/>
              <w:t>Moving Around – Proposal 2</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1C15F945" w14:textId="5B0CCF51"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Create a safe and continuous foot</w:t>
            </w:r>
            <w:r w:rsidR="00A35103">
              <w:rPr>
                <w:rFonts w:ascii="Arial" w:hAnsi="Arial" w:cs="Arial"/>
                <w:sz w:val="22"/>
                <w:szCs w:val="22"/>
                <w:lang w:eastAsia="en-US"/>
              </w:rPr>
              <w:t>way</w:t>
            </w:r>
            <w:r w:rsidRPr="00A9601F">
              <w:rPr>
                <w:rFonts w:ascii="Arial" w:hAnsi="Arial" w:cs="Arial"/>
                <w:sz w:val="22"/>
                <w:szCs w:val="22"/>
                <w:lang w:eastAsia="en-US"/>
              </w:rPr>
              <w:t xml:space="preserve"> linking the Village Hall, bus stop, primary school, Lake Hotel, church, fishery, and </w:t>
            </w:r>
            <w:proofErr w:type="spellStart"/>
            <w:r w:rsidRPr="00A9601F">
              <w:rPr>
                <w:rFonts w:ascii="Arial" w:hAnsi="Arial" w:cs="Arial"/>
                <w:sz w:val="22"/>
                <w:szCs w:val="22"/>
                <w:lang w:eastAsia="en-US"/>
              </w:rPr>
              <w:t>Inchmahome</w:t>
            </w:r>
            <w:proofErr w:type="spellEnd"/>
            <w:r w:rsidRPr="00A9601F">
              <w:rPr>
                <w:rFonts w:ascii="Arial" w:hAnsi="Arial" w:cs="Arial"/>
                <w:sz w:val="22"/>
                <w:szCs w:val="22"/>
                <w:lang w:eastAsia="en-US"/>
              </w:rPr>
              <w:t xml:space="preserve"> Priory. This will require constructing a new footway alongside the B8034.</w:t>
            </w: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12089A72"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Map on page 29 could be incorporated into the LDP which details the community priority for a safe footway. </w:t>
            </w:r>
          </w:p>
        </w:tc>
      </w:tr>
      <w:tr w:rsidR="00862551" w:rsidRPr="00A9601F" w14:paraId="4FC5F01A"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DCEC2"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Moving Around – Proposal 3</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1791CA1C"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New footpaths should be developed from the Port of Menteith Village Hall Mobility Hub to connect with established path networks to the north. Two key indicative routes </w:t>
            </w:r>
            <w:r w:rsidRPr="006720A1">
              <w:rPr>
                <w:rFonts w:ascii="Arial" w:hAnsi="Arial" w:cs="Arial"/>
                <w:sz w:val="22"/>
                <w:szCs w:val="22"/>
                <w:lang w:eastAsia="en-US"/>
              </w:rPr>
              <w:t>are proposed: Route 1 (</w:t>
            </w:r>
            <w:proofErr w:type="gramStart"/>
            <w:r w:rsidRPr="006720A1">
              <w:rPr>
                <w:rFonts w:ascii="Arial" w:hAnsi="Arial" w:cs="Arial"/>
                <w:sz w:val="22"/>
                <w:szCs w:val="22"/>
                <w:lang w:eastAsia="en-US"/>
              </w:rPr>
              <w:t>North West</w:t>
            </w:r>
            <w:proofErr w:type="gramEnd"/>
            <w:r w:rsidRPr="006720A1">
              <w:rPr>
                <w:rFonts w:ascii="Arial" w:hAnsi="Arial" w:cs="Arial"/>
                <w:sz w:val="22"/>
                <w:szCs w:val="22"/>
                <w:lang w:eastAsia="en-US"/>
              </w:rPr>
              <w:t xml:space="preserve">) towards </w:t>
            </w:r>
            <w:proofErr w:type="spellStart"/>
            <w:r w:rsidRPr="006720A1">
              <w:rPr>
                <w:rFonts w:ascii="Arial" w:hAnsi="Arial" w:cs="Arial"/>
                <w:sz w:val="22"/>
                <w:szCs w:val="22"/>
                <w:lang w:eastAsia="en-US"/>
              </w:rPr>
              <w:t>Braeval</w:t>
            </w:r>
            <w:proofErr w:type="spellEnd"/>
            <w:r w:rsidRPr="006720A1">
              <w:rPr>
                <w:rFonts w:ascii="Arial" w:hAnsi="Arial" w:cs="Arial"/>
                <w:sz w:val="22"/>
                <w:szCs w:val="22"/>
                <w:lang w:eastAsia="en-US"/>
              </w:rPr>
              <w:t>, the Rob Roy Way, and Strathard path networks linking to Aberfoyle; and Route 2 (</w:t>
            </w:r>
            <w:proofErr w:type="gramStart"/>
            <w:r w:rsidRPr="006720A1">
              <w:rPr>
                <w:rFonts w:ascii="Arial" w:hAnsi="Arial" w:cs="Arial"/>
                <w:sz w:val="22"/>
                <w:szCs w:val="22"/>
                <w:lang w:eastAsia="en-US"/>
              </w:rPr>
              <w:t>North East</w:t>
            </w:r>
            <w:proofErr w:type="gramEnd"/>
            <w:r w:rsidRPr="006720A1">
              <w:rPr>
                <w:rFonts w:ascii="Arial" w:hAnsi="Arial" w:cs="Arial"/>
                <w:sz w:val="22"/>
                <w:szCs w:val="22"/>
                <w:lang w:eastAsia="en-US"/>
              </w:rPr>
              <w:t>) towards Letter Hill, Cock Hill, and onto</w:t>
            </w:r>
            <w:r w:rsidRPr="00A9601F">
              <w:rPr>
                <w:rFonts w:ascii="Arial" w:hAnsi="Arial" w:cs="Arial"/>
                <w:sz w:val="22"/>
                <w:szCs w:val="22"/>
                <w:lang w:eastAsia="en-US"/>
              </w:rPr>
              <w:t xml:space="preserve"> paths connecting with Callander and around </w:t>
            </w:r>
            <w:proofErr w:type="spellStart"/>
            <w:r w:rsidRPr="00A9601F">
              <w:rPr>
                <w:rFonts w:ascii="Arial" w:hAnsi="Arial" w:cs="Arial"/>
                <w:sz w:val="22"/>
                <w:szCs w:val="22"/>
                <w:lang w:eastAsia="en-US"/>
              </w:rPr>
              <w:t>Rusky</w:t>
            </w:r>
            <w:proofErr w:type="spellEnd"/>
            <w:r w:rsidRPr="00A9601F">
              <w:rPr>
                <w:rFonts w:ascii="Arial" w:hAnsi="Arial" w:cs="Arial"/>
                <w:sz w:val="22"/>
                <w:szCs w:val="22"/>
                <w:lang w:eastAsia="en-US"/>
              </w:rPr>
              <w:t xml:space="preserve"> Loch. These corridors align with routes identified in the LLTNPA Strategic Tourism Infrastructure Development Framework (STIDF) for Strathard, enhancing access for both the community and visitors.</w:t>
            </w: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4F0361A6"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This proposal can be incorporated into the LDP by identifying the new footpaths as part of the strategic active travel and green infrastructure network. The routes would support safer walking, cycling, and wheeling connections between the Mobility Hub, key community facilities, and wider path networks, while enhancing access to recreational areas and supporting sustainable tourism in line with the LLTNPA Strategic Tourism Infrastructure Development Framework. These paths promote low-carbon transport, healthier lifestyles, and improved community connectivity, and should be mapped and safeguarded within the LDP.</w:t>
            </w:r>
          </w:p>
        </w:tc>
      </w:tr>
      <w:tr w:rsidR="00862551" w:rsidRPr="00A9601F" w14:paraId="6776C216"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8E444"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 xml:space="preserve">Moving Around – Proposal 4 </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3F7A0834" w14:textId="77777777" w:rsidR="00862551" w:rsidRPr="00A9601F" w:rsidRDefault="00862551" w:rsidP="00700D8B">
            <w:pPr>
              <w:rPr>
                <w:rFonts w:ascii="Arial" w:hAnsi="Arial" w:cs="Arial"/>
                <w:color w:val="000000"/>
                <w:sz w:val="22"/>
                <w:szCs w:val="22"/>
              </w:rPr>
            </w:pPr>
            <w:r w:rsidRPr="00A9601F">
              <w:rPr>
                <w:rFonts w:ascii="Arial" w:hAnsi="Arial" w:cs="Arial"/>
                <w:color w:val="000000"/>
                <w:sz w:val="22"/>
                <w:szCs w:val="22"/>
              </w:rPr>
              <w:t xml:space="preserve">Continue to advance the development of a safe cycling route between Stirling and Aberfoyle, with a particular focus on the sections connecting Port of Menteith to Aberfoyle and Thornhill. In 2019/20, Stirling Council's Your Stirling, You Decide participatory budgeting process highlighted this as the top-voted project in the Trossachs and </w:t>
            </w:r>
            <w:proofErr w:type="spellStart"/>
            <w:r w:rsidRPr="00A9601F">
              <w:rPr>
                <w:rFonts w:ascii="Arial" w:hAnsi="Arial" w:cs="Arial"/>
                <w:color w:val="000000"/>
                <w:sz w:val="22"/>
                <w:szCs w:val="22"/>
              </w:rPr>
              <w:t>Teith</w:t>
            </w:r>
            <w:proofErr w:type="spellEnd"/>
            <w:r w:rsidRPr="00A9601F">
              <w:rPr>
                <w:rFonts w:ascii="Arial" w:hAnsi="Arial" w:cs="Arial"/>
                <w:color w:val="000000"/>
                <w:sz w:val="22"/>
                <w:szCs w:val="22"/>
              </w:rPr>
              <w:t xml:space="preserve"> Ward, </w:t>
            </w:r>
            <w:r w:rsidRPr="00A9601F">
              <w:rPr>
                <w:rFonts w:ascii="Arial" w:hAnsi="Arial" w:cs="Arial"/>
                <w:color w:val="000000"/>
                <w:sz w:val="22"/>
                <w:szCs w:val="22"/>
              </w:rPr>
              <w:lastRenderedPageBreak/>
              <w:t>demonstrating strong community support for improved active travel links between settlements.</w:t>
            </w: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47998456" w14:textId="77777777" w:rsidR="00862551" w:rsidRPr="00A9601F" w:rsidRDefault="00862551" w:rsidP="00700D8B">
            <w:pPr>
              <w:spacing w:line="276" w:lineRule="auto"/>
              <w:rPr>
                <w:rFonts w:ascii="Arial" w:hAnsi="Arial" w:cs="Arial"/>
                <w:i/>
                <w:iCs/>
                <w:color w:val="FF0000"/>
                <w:sz w:val="22"/>
                <w:szCs w:val="22"/>
                <w:lang w:eastAsia="en-US"/>
              </w:rPr>
            </w:pPr>
            <w:r w:rsidRPr="00A9601F">
              <w:rPr>
                <w:rFonts w:ascii="Arial" w:hAnsi="Arial" w:cs="Arial"/>
                <w:sz w:val="22"/>
                <w:szCs w:val="22"/>
                <w:lang w:eastAsia="en-US"/>
              </w:rPr>
              <w:lastRenderedPageBreak/>
              <w:t xml:space="preserve">Work with Stirling Council to develop a cycling network between the two Local Authority areas. the proposed cycling route identified on page 31 could be explicitly mapped and supported within the LDP as part of a strategic, sustainable transport network, backed by strong </w:t>
            </w:r>
            <w:r w:rsidRPr="00A9601F">
              <w:rPr>
                <w:rFonts w:ascii="Arial" w:hAnsi="Arial" w:cs="Arial"/>
                <w:sz w:val="22"/>
                <w:szCs w:val="22"/>
                <w:lang w:eastAsia="en-US"/>
              </w:rPr>
              <w:lastRenderedPageBreak/>
              <w:t>community support and aligned with wider planning and climate objectives</w:t>
            </w:r>
            <w:r w:rsidRPr="00A9601F">
              <w:rPr>
                <w:rFonts w:ascii="Arial" w:hAnsi="Arial" w:cs="Arial"/>
                <w:i/>
                <w:iCs/>
                <w:color w:val="FF0000"/>
                <w:sz w:val="22"/>
                <w:szCs w:val="22"/>
                <w:lang w:eastAsia="en-US"/>
              </w:rPr>
              <w:t>.</w:t>
            </w:r>
          </w:p>
        </w:tc>
      </w:tr>
      <w:tr w:rsidR="00862551" w:rsidRPr="00A9601F" w14:paraId="5F394C9B"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00C6F1"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lastRenderedPageBreak/>
              <w:t xml:space="preserve">Moving Around – Proposal 5 </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02DCFC8C"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Proposal 5: Waymark Heritage Routes aims to work with landowners, public bodies, and residents to identify, improve, and waymark existing and potential heritage paths, enhancing community access and celebrating local history. Key routes include: the hill path from Nether Glenny to the Rob Roy Way and NCN7 towards Brig </w:t>
            </w:r>
            <w:proofErr w:type="spellStart"/>
            <w:r w:rsidRPr="00A9601F">
              <w:rPr>
                <w:rFonts w:ascii="Arial" w:hAnsi="Arial" w:cs="Arial"/>
                <w:sz w:val="22"/>
                <w:szCs w:val="22"/>
                <w:lang w:eastAsia="en-US"/>
              </w:rPr>
              <w:t>o’Turk</w:t>
            </w:r>
            <w:proofErr w:type="spellEnd"/>
            <w:r w:rsidRPr="00A9601F">
              <w:rPr>
                <w:rFonts w:ascii="Arial" w:hAnsi="Arial" w:cs="Arial"/>
                <w:sz w:val="22"/>
                <w:szCs w:val="22"/>
                <w:lang w:eastAsia="en-US"/>
              </w:rPr>
              <w:t xml:space="preserve"> and Callander, with heritage waymarking at burial chambers and cup and ring marks; the historic right of way from Malling to Gartmore via </w:t>
            </w:r>
            <w:proofErr w:type="spellStart"/>
            <w:r w:rsidRPr="00A9601F">
              <w:rPr>
                <w:rFonts w:ascii="Arial" w:hAnsi="Arial" w:cs="Arial"/>
                <w:sz w:val="22"/>
                <w:szCs w:val="22"/>
                <w:lang w:eastAsia="en-US"/>
              </w:rPr>
              <w:t>Shannochill</w:t>
            </w:r>
            <w:proofErr w:type="spellEnd"/>
            <w:r w:rsidRPr="00A9601F">
              <w:rPr>
                <w:rFonts w:ascii="Arial" w:hAnsi="Arial" w:cs="Arial"/>
                <w:sz w:val="22"/>
                <w:szCs w:val="22"/>
                <w:lang w:eastAsia="en-US"/>
              </w:rPr>
              <w:t xml:space="preserve">, requiring remedial work and waymarking; a proposed circular route from the Millennium Car Park at the Lake of Menteith through </w:t>
            </w:r>
            <w:proofErr w:type="spellStart"/>
            <w:r w:rsidRPr="00A9601F">
              <w:rPr>
                <w:rFonts w:ascii="Arial" w:hAnsi="Arial" w:cs="Arial"/>
                <w:sz w:val="22"/>
                <w:szCs w:val="22"/>
                <w:lang w:eastAsia="en-US"/>
              </w:rPr>
              <w:t>Inchie</w:t>
            </w:r>
            <w:proofErr w:type="spellEnd"/>
            <w:r w:rsidRPr="00A9601F">
              <w:rPr>
                <w:rFonts w:ascii="Arial" w:hAnsi="Arial" w:cs="Arial"/>
                <w:sz w:val="22"/>
                <w:szCs w:val="22"/>
                <w:lang w:eastAsia="en-US"/>
              </w:rPr>
              <w:t xml:space="preserve"> and </w:t>
            </w:r>
            <w:proofErr w:type="spellStart"/>
            <w:r w:rsidRPr="00A9601F">
              <w:rPr>
                <w:rFonts w:ascii="Arial" w:hAnsi="Arial" w:cs="Arial"/>
                <w:sz w:val="22"/>
                <w:szCs w:val="22"/>
                <w:lang w:eastAsia="en-US"/>
              </w:rPr>
              <w:t>Moncreiff</w:t>
            </w:r>
            <w:proofErr w:type="spellEnd"/>
            <w:r w:rsidRPr="00A9601F">
              <w:rPr>
                <w:rFonts w:ascii="Arial" w:hAnsi="Arial" w:cs="Arial"/>
                <w:sz w:val="22"/>
                <w:szCs w:val="22"/>
                <w:lang w:eastAsia="en-US"/>
              </w:rPr>
              <w:t xml:space="preserve"> Woods, Earl’s Hill, and </w:t>
            </w:r>
            <w:proofErr w:type="spellStart"/>
            <w:r w:rsidRPr="00A9601F">
              <w:rPr>
                <w:rFonts w:ascii="Arial" w:hAnsi="Arial" w:cs="Arial"/>
                <w:sz w:val="22"/>
                <w:szCs w:val="22"/>
                <w:lang w:eastAsia="en-US"/>
              </w:rPr>
              <w:t>Rednock</w:t>
            </w:r>
            <w:proofErr w:type="spellEnd"/>
            <w:r w:rsidRPr="00A9601F">
              <w:rPr>
                <w:rFonts w:ascii="Arial" w:hAnsi="Arial" w:cs="Arial"/>
                <w:sz w:val="22"/>
                <w:szCs w:val="22"/>
                <w:lang w:eastAsia="en-US"/>
              </w:rPr>
              <w:t xml:space="preserve"> Estate towards </w:t>
            </w:r>
            <w:proofErr w:type="spellStart"/>
            <w:r w:rsidRPr="00A9601F">
              <w:rPr>
                <w:rFonts w:ascii="Arial" w:hAnsi="Arial" w:cs="Arial"/>
                <w:sz w:val="22"/>
                <w:szCs w:val="22"/>
                <w:lang w:eastAsia="en-US"/>
              </w:rPr>
              <w:t>Blairhoyle</w:t>
            </w:r>
            <w:proofErr w:type="spellEnd"/>
            <w:r w:rsidRPr="00A9601F">
              <w:rPr>
                <w:rFonts w:ascii="Arial" w:hAnsi="Arial" w:cs="Arial"/>
                <w:sz w:val="22"/>
                <w:szCs w:val="22"/>
                <w:lang w:eastAsia="en-US"/>
              </w:rPr>
              <w:t xml:space="preserve">; and a link from </w:t>
            </w:r>
            <w:proofErr w:type="spellStart"/>
            <w:r w:rsidRPr="00A9601F">
              <w:rPr>
                <w:rFonts w:ascii="Arial" w:hAnsi="Arial" w:cs="Arial"/>
                <w:sz w:val="22"/>
                <w:szCs w:val="22"/>
                <w:lang w:eastAsia="en-US"/>
              </w:rPr>
              <w:t>Gartur</w:t>
            </w:r>
            <w:proofErr w:type="spellEnd"/>
            <w:r w:rsidRPr="00A9601F">
              <w:rPr>
                <w:rFonts w:ascii="Arial" w:hAnsi="Arial" w:cs="Arial"/>
                <w:sz w:val="22"/>
                <w:szCs w:val="22"/>
                <w:lang w:eastAsia="en-US"/>
              </w:rPr>
              <w:t xml:space="preserve"> Farm to </w:t>
            </w:r>
            <w:proofErr w:type="spellStart"/>
            <w:r w:rsidRPr="00A9601F">
              <w:rPr>
                <w:rFonts w:ascii="Arial" w:hAnsi="Arial" w:cs="Arial"/>
                <w:sz w:val="22"/>
                <w:szCs w:val="22"/>
                <w:lang w:eastAsia="en-US"/>
              </w:rPr>
              <w:t>Gartrenich</w:t>
            </w:r>
            <w:proofErr w:type="spellEnd"/>
            <w:r w:rsidRPr="00A9601F">
              <w:rPr>
                <w:rFonts w:ascii="Arial" w:hAnsi="Arial" w:cs="Arial"/>
                <w:sz w:val="22"/>
                <w:szCs w:val="22"/>
                <w:lang w:eastAsia="en-US"/>
              </w:rPr>
              <w:t xml:space="preserve"> connecting with NCN7 and the Aberfoyle–</w:t>
            </w:r>
            <w:proofErr w:type="spellStart"/>
            <w:r w:rsidRPr="00A9601F">
              <w:rPr>
                <w:rFonts w:ascii="Arial" w:hAnsi="Arial" w:cs="Arial"/>
                <w:sz w:val="22"/>
                <w:szCs w:val="22"/>
                <w:lang w:eastAsia="en-US"/>
              </w:rPr>
              <w:t>Buchlyvie</w:t>
            </w:r>
            <w:proofErr w:type="spellEnd"/>
            <w:r w:rsidRPr="00A9601F">
              <w:rPr>
                <w:rFonts w:ascii="Arial" w:hAnsi="Arial" w:cs="Arial"/>
                <w:sz w:val="22"/>
                <w:szCs w:val="22"/>
                <w:lang w:eastAsia="en-US"/>
              </w:rPr>
              <w:t xml:space="preserve"> cycle path. These routes will help create a more accessible, connected, and liveable neighbourhood while promoting the area’s rich heritage.</w:t>
            </w: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72D13709"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This proposal can be incorporated into the next LDP by identifying the heritage routes as part of the area’s strategic active travel and green infrastructure network, with specific policies to support their improvement, protection, and waymarking. The LDP should recognise these routes as key assets that enhance sustainable access, promote the area's cultural and historical heritage, and support local tourism and recreation. Existing and proposed routes, such as those linking Nether Glenny to the Rob Roy Way, Malling to Gartmore, the Millennium Car Park to </w:t>
            </w:r>
            <w:proofErr w:type="spellStart"/>
            <w:r w:rsidRPr="00A9601F">
              <w:rPr>
                <w:rFonts w:ascii="Arial" w:hAnsi="Arial" w:cs="Arial"/>
                <w:sz w:val="22"/>
                <w:szCs w:val="22"/>
                <w:lang w:eastAsia="en-US"/>
              </w:rPr>
              <w:t>Blairhoyle</w:t>
            </w:r>
            <w:proofErr w:type="spellEnd"/>
            <w:r w:rsidRPr="00A9601F">
              <w:rPr>
                <w:rFonts w:ascii="Arial" w:hAnsi="Arial" w:cs="Arial"/>
                <w:sz w:val="22"/>
                <w:szCs w:val="22"/>
                <w:lang w:eastAsia="en-US"/>
              </w:rPr>
              <w:t xml:space="preserve">, and </w:t>
            </w:r>
            <w:proofErr w:type="spellStart"/>
            <w:r w:rsidRPr="00A9601F">
              <w:rPr>
                <w:rFonts w:ascii="Arial" w:hAnsi="Arial" w:cs="Arial"/>
                <w:sz w:val="22"/>
                <w:szCs w:val="22"/>
                <w:lang w:eastAsia="en-US"/>
              </w:rPr>
              <w:t>Gartur</w:t>
            </w:r>
            <w:proofErr w:type="spellEnd"/>
            <w:r w:rsidRPr="00A9601F">
              <w:rPr>
                <w:rFonts w:ascii="Arial" w:hAnsi="Arial" w:cs="Arial"/>
                <w:sz w:val="22"/>
                <w:szCs w:val="22"/>
                <w:lang w:eastAsia="en-US"/>
              </w:rPr>
              <w:t xml:space="preserve"> to NCN7, should be mapped and safeguarded within the LDP.</w:t>
            </w:r>
          </w:p>
        </w:tc>
      </w:tr>
      <w:tr w:rsidR="00862551" w:rsidRPr="00A9601F" w14:paraId="52971D31"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CBC49"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 xml:space="preserve">Spaces – Proposal 7 </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19101E87"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The community should have the option to acquire the church glebe, north of the Karma Lake Hotel, if it becomes available. This 1.7ha site could provide attractive public green space, outdoor learning opportunities for the </w:t>
            </w:r>
            <w:r w:rsidRPr="00A9601F">
              <w:rPr>
                <w:rFonts w:ascii="Arial" w:hAnsi="Arial" w:cs="Arial"/>
                <w:sz w:val="22"/>
                <w:szCs w:val="22"/>
                <w:lang w:eastAsia="en-US"/>
              </w:rPr>
              <w:lastRenderedPageBreak/>
              <w:t>school, landscaping, and potential access to the lake. It would also enhance the setting of the hotel and church and improve connections to the school and Village Hall mobility hub via the proposed footway.</w:t>
            </w: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1A6FEB00"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lastRenderedPageBreak/>
              <w:t xml:space="preserve">The next LDP should allocate this space as an area of community significance. The map on page 38 shows the boundary of the site. </w:t>
            </w:r>
          </w:p>
        </w:tc>
      </w:tr>
      <w:tr w:rsidR="00862551" w:rsidRPr="00A9601F" w14:paraId="0631C825" w14:textId="77777777" w:rsidTr="00700D8B">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7B181"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 xml:space="preserve">Spaces – Proposal 8 </w:t>
            </w:r>
          </w:p>
        </w:tc>
        <w:tc>
          <w:tcPr>
            <w:tcW w:w="3248" w:type="dxa"/>
            <w:tcBorders>
              <w:top w:val="nil"/>
              <w:left w:val="nil"/>
              <w:bottom w:val="single" w:sz="8" w:space="0" w:color="auto"/>
              <w:right w:val="single" w:sz="8" w:space="0" w:color="auto"/>
            </w:tcBorders>
            <w:tcMar>
              <w:top w:w="0" w:type="dxa"/>
              <w:left w:w="108" w:type="dxa"/>
              <w:bottom w:w="0" w:type="dxa"/>
              <w:right w:w="108" w:type="dxa"/>
            </w:tcMar>
          </w:tcPr>
          <w:p w14:paraId="7B714706"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Support responsible visitor stays by providing motorhome facilities at the Village Hall, including hook-ups, toilets, waste disposal, and EV charging, following </w:t>
            </w:r>
            <w:proofErr w:type="spellStart"/>
            <w:r w:rsidRPr="00A9601F">
              <w:rPr>
                <w:rFonts w:ascii="Arial" w:hAnsi="Arial" w:cs="Arial"/>
                <w:sz w:val="22"/>
                <w:szCs w:val="22"/>
                <w:lang w:eastAsia="en-US"/>
              </w:rPr>
              <w:t>CAMpRA</w:t>
            </w:r>
            <w:proofErr w:type="spellEnd"/>
            <w:r w:rsidRPr="00A9601F">
              <w:rPr>
                <w:rFonts w:ascii="Arial" w:hAnsi="Arial" w:cs="Arial"/>
                <w:sz w:val="22"/>
                <w:szCs w:val="22"/>
                <w:lang w:eastAsia="en-US"/>
              </w:rPr>
              <w:t xml:space="preserve"> (Campaign for Real Aires) guidelines. This would enhance access to facilities while encouraging sustainable tourism.</w:t>
            </w:r>
          </w:p>
        </w:tc>
        <w:tc>
          <w:tcPr>
            <w:tcW w:w="2899" w:type="dxa"/>
            <w:tcBorders>
              <w:top w:val="nil"/>
              <w:left w:val="nil"/>
              <w:bottom w:val="single" w:sz="8" w:space="0" w:color="auto"/>
              <w:right w:val="single" w:sz="8" w:space="0" w:color="auto"/>
            </w:tcBorders>
            <w:tcMar>
              <w:top w:w="0" w:type="dxa"/>
              <w:left w:w="108" w:type="dxa"/>
              <w:bottom w:w="0" w:type="dxa"/>
              <w:right w:w="108" w:type="dxa"/>
            </w:tcMar>
          </w:tcPr>
          <w:p w14:paraId="43BEB4FB" w14:textId="77777777" w:rsidR="00862551" w:rsidRPr="00A9601F" w:rsidRDefault="00862551" w:rsidP="00700D8B">
            <w:pPr>
              <w:spacing w:line="276" w:lineRule="auto"/>
              <w:rPr>
                <w:rFonts w:ascii="Arial" w:hAnsi="Arial" w:cs="Arial"/>
                <w:i/>
                <w:iCs/>
                <w:color w:val="FF0000"/>
                <w:sz w:val="22"/>
                <w:szCs w:val="22"/>
                <w:lang w:eastAsia="en-US"/>
              </w:rPr>
            </w:pPr>
            <w:r w:rsidRPr="00A9601F">
              <w:rPr>
                <w:rFonts w:ascii="Arial" w:hAnsi="Arial" w:cs="Arial"/>
                <w:sz w:val="22"/>
                <w:szCs w:val="22"/>
                <w:lang w:eastAsia="en-US"/>
              </w:rPr>
              <w:t xml:space="preserve">This proposal can be incorporated into the next LDP by identifying the Village Hall as a suitable location for small-scale, well-managed motorhome facilities to support sustainable rural tourism. The LDP should support provision of hook-ups, toilets, waste disposal, and EV charging, ensuring responsible overnight stays that minimise environmental impact. </w:t>
            </w:r>
          </w:p>
        </w:tc>
      </w:tr>
      <w:tr w:rsidR="00862551" w:rsidRPr="00A9601F" w14:paraId="2B93879C" w14:textId="77777777" w:rsidTr="00700D8B">
        <w:tc>
          <w:tcPr>
            <w:tcW w:w="28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ED7E771" w14:textId="77777777" w:rsidR="00862551" w:rsidRPr="00A9601F" w:rsidRDefault="00862551" w:rsidP="00700D8B">
            <w:pPr>
              <w:rPr>
                <w:rFonts w:ascii="Arial" w:hAnsi="Arial" w:cs="Arial"/>
                <w:sz w:val="22"/>
                <w:szCs w:val="22"/>
                <w:lang w:eastAsia="en-US"/>
              </w:rPr>
            </w:pPr>
            <w:r w:rsidRPr="00A9601F">
              <w:rPr>
                <w:rFonts w:ascii="Arial" w:hAnsi="Arial" w:cs="Arial"/>
                <w:sz w:val="22"/>
                <w:szCs w:val="22"/>
                <w:lang w:eastAsia="en-US"/>
              </w:rPr>
              <w:t>Housing – Proposal 9A</w:t>
            </w:r>
          </w:p>
        </w:tc>
        <w:tc>
          <w:tcPr>
            <w:tcW w:w="3248" w:type="dxa"/>
            <w:tcBorders>
              <w:top w:val="nil"/>
              <w:left w:val="nil"/>
              <w:bottom w:val="single" w:sz="4" w:space="0" w:color="auto"/>
              <w:right w:val="single" w:sz="8" w:space="0" w:color="auto"/>
            </w:tcBorders>
            <w:tcMar>
              <w:top w:w="0" w:type="dxa"/>
              <w:left w:w="108" w:type="dxa"/>
              <w:bottom w:w="0" w:type="dxa"/>
              <w:right w:w="108" w:type="dxa"/>
            </w:tcMar>
          </w:tcPr>
          <w:p w14:paraId="7BD6B622"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 xml:space="preserve">Any future housing development in Port of Menteith should be located along the north side of the A81, </w:t>
            </w:r>
            <w:proofErr w:type="spellStart"/>
            <w:r w:rsidRPr="00A9601F">
              <w:rPr>
                <w:rFonts w:ascii="Arial" w:hAnsi="Arial" w:cs="Arial"/>
                <w:sz w:val="22"/>
                <w:szCs w:val="22"/>
                <w:lang w:eastAsia="en-US"/>
              </w:rPr>
              <w:t>infilling</w:t>
            </w:r>
            <w:proofErr w:type="spellEnd"/>
            <w:r w:rsidRPr="00A9601F">
              <w:rPr>
                <w:rFonts w:ascii="Arial" w:hAnsi="Arial" w:cs="Arial"/>
                <w:sz w:val="22"/>
                <w:szCs w:val="22"/>
                <w:lang w:eastAsia="en-US"/>
              </w:rPr>
              <w:t xml:space="preserve"> the gap between </w:t>
            </w:r>
            <w:proofErr w:type="spellStart"/>
            <w:r w:rsidRPr="00A9601F">
              <w:rPr>
                <w:rFonts w:ascii="Arial" w:hAnsi="Arial" w:cs="Arial"/>
                <w:sz w:val="22"/>
                <w:szCs w:val="22"/>
                <w:lang w:eastAsia="en-US"/>
              </w:rPr>
              <w:t>Thistledome</w:t>
            </w:r>
            <w:proofErr w:type="spellEnd"/>
            <w:r w:rsidRPr="00A9601F">
              <w:rPr>
                <w:rFonts w:ascii="Arial" w:hAnsi="Arial" w:cs="Arial"/>
                <w:sz w:val="22"/>
                <w:szCs w:val="22"/>
                <w:lang w:eastAsia="en-US"/>
              </w:rPr>
              <w:t xml:space="preserve"> and the four council houses at the village's eastern edge. This aligns with NPA Local Development Plan policy, which supports development that consolidates existing building groups without extending into open fields beyond natural boundaries.</w:t>
            </w:r>
          </w:p>
        </w:tc>
        <w:tc>
          <w:tcPr>
            <w:tcW w:w="2899" w:type="dxa"/>
            <w:tcBorders>
              <w:top w:val="nil"/>
              <w:left w:val="nil"/>
              <w:bottom w:val="single" w:sz="4" w:space="0" w:color="auto"/>
              <w:right w:val="single" w:sz="8" w:space="0" w:color="auto"/>
            </w:tcBorders>
            <w:tcMar>
              <w:top w:w="0" w:type="dxa"/>
              <w:left w:w="108" w:type="dxa"/>
              <w:bottom w:w="0" w:type="dxa"/>
              <w:right w:w="108" w:type="dxa"/>
            </w:tcMar>
          </w:tcPr>
          <w:p w14:paraId="77163F9E"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 xml:space="preserve">Map on page 41 displays communities preferred location and site for housing in the future. </w:t>
            </w:r>
          </w:p>
        </w:tc>
      </w:tr>
      <w:tr w:rsidR="00862551" w:rsidRPr="00A9601F" w14:paraId="4B22AE59" w14:textId="77777777" w:rsidTr="00700D8B">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4536"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Housing – Proposal 9E</w:t>
            </w:r>
          </w:p>
        </w:tc>
        <w:tc>
          <w:tcPr>
            <w:tcW w:w="3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A04C8"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t xml:space="preserve">Any proposed housing should be informed by a Housing Needs and Demand Assessment focused on meeting local needs, with priority given to people from within the Port of Menteith </w:t>
            </w:r>
            <w:r w:rsidRPr="00A9601F">
              <w:rPr>
                <w:rFonts w:ascii="Arial" w:hAnsi="Arial" w:cs="Arial"/>
                <w:sz w:val="22"/>
                <w:szCs w:val="22"/>
                <w:lang w:eastAsia="en-US"/>
              </w:rPr>
              <w:lastRenderedPageBreak/>
              <w:t>Community Council area seeking to downsize or access suitable, accessible accommodation. There is also a clear desire for a mix of affordable and inclusive, accessible housing options.</w:t>
            </w:r>
          </w:p>
        </w:tc>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302B" w14:textId="77777777" w:rsidR="00862551" w:rsidRPr="00A9601F" w:rsidRDefault="00862551" w:rsidP="00700D8B">
            <w:pPr>
              <w:spacing w:line="276" w:lineRule="auto"/>
              <w:rPr>
                <w:rFonts w:ascii="Arial" w:hAnsi="Arial" w:cs="Arial"/>
                <w:color w:val="FF0000"/>
                <w:sz w:val="22"/>
                <w:szCs w:val="22"/>
                <w:lang w:eastAsia="en-US"/>
              </w:rPr>
            </w:pPr>
            <w:r w:rsidRPr="00A9601F">
              <w:rPr>
                <w:rFonts w:ascii="Arial" w:hAnsi="Arial" w:cs="Arial"/>
                <w:sz w:val="22"/>
                <w:szCs w:val="22"/>
                <w:lang w:eastAsia="en-US"/>
              </w:rPr>
              <w:lastRenderedPageBreak/>
              <w:t xml:space="preserve">The LDP should prioritise small-scale, affordable, and accessible housing that enables local people to downsize or access suitable accommodation, ensuring development </w:t>
            </w:r>
            <w:r w:rsidRPr="00A9601F">
              <w:rPr>
                <w:rFonts w:ascii="Arial" w:hAnsi="Arial" w:cs="Arial"/>
                <w:sz w:val="22"/>
                <w:szCs w:val="22"/>
                <w:lang w:eastAsia="en-US"/>
              </w:rPr>
              <w:lastRenderedPageBreak/>
              <w:t>supports community sustainability. This approach would align with wider LDP objectives on affordable housing provision, inclusive design, and maintaining the social fabric of rural communities.</w:t>
            </w:r>
          </w:p>
        </w:tc>
      </w:tr>
      <w:tr w:rsidR="00862551" w:rsidRPr="00A9601F" w14:paraId="22E89A76" w14:textId="77777777" w:rsidTr="00700D8B">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7662D"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lastRenderedPageBreak/>
              <w:t xml:space="preserve">Facilities – Proposal 10 </w:t>
            </w:r>
          </w:p>
        </w:tc>
        <w:tc>
          <w:tcPr>
            <w:tcW w:w="3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777A8"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Maintain and enhance the school and village hall as important social spaces for play, community activities, and recreation. Continue to improve access to nearby green and blue spaces, in line with the movement proposals and Proposals 6 and 7, to support outdoor play, wellbeing, and community connection.</w:t>
            </w:r>
          </w:p>
        </w:tc>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6416C" w14:textId="77777777" w:rsidR="00862551" w:rsidRPr="00A9601F" w:rsidRDefault="00862551" w:rsidP="00700D8B">
            <w:pPr>
              <w:spacing w:line="276" w:lineRule="auto"/>
              <w:rPr>
                <w:rFonts w:ascii="Arial" w:hAnsi="Arial" w:cs="Arial"/>
                <w:sz w:val="22"/>
                <w:szCs w:val="22"/>
                <w:lang w:eastAsia="en-US"/>
              </w:rPr>
            </w:pPr>
            <w:r w:rsidRPr="00A9601F">
              <w:rPr>
                <w:rFonts w:ascii="Arial" w:hAnsi="Arial" w:cs="Arial"/>
                <w:sz w:val="22"/>
                <w:szCs w:val="22"/>
                <w:lang w:eastAsia="en-US"/>
              </w:rPr>
              <w:t xml:space="preserve">This can be incorporated into the next LDP by identifying the school, village hall, and surrounding green and blue spaces as key community assets for recreation, play, and social connection. The LDP should support the protection and enhancement of these spaces, promote safe and accessible links to them, and encourage opportunities to improve outdoor play areas and recreational facilities as part of wider placemaking and active travel strategies. </w:t>
            </w:r>
          </w:p>
        </w:tc>
      </w:tr>
      <w:tr w:rsidR="00862551" w:rsidRPr="00A9601F" w14:paraId="25F8B622" w14:textId="77777777" w:rsidTr="00700D8B">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DFD52" w14:textId="15606317" w:rsidR="00862551" w:rsidRPr="00A9601F" w:rsidRDefault="00862551" w:rsidP="00700D8B">
            <w:pPr>
              <w:spacing w:line="276" w:lineRule="auto"/>
              <w:rPr>
                <w:rFonts w:ascii="Arial" w:hAnsi="Arial" w:cs="Arial"/>
                <w:sz w:val="22"/>
                <w:szCs w:val="22"/>
                <w:lang w:eastAsia="en-US"/>
              </w:rPr>
            </w:pPr>
            <w:r>
              <w:rPr>
                <w:rFonts w:ascii="Arial" w:hAnsi="Arial" w:cs="Arial"/>
                <w:sz w:val="22"/>
                <w:szCs w:val="22"/>
                <w:lang w:eastAsia="en-US"/>
              </w:rPr>
              <w:t>Civic – Proposal 11</w:t>
            </w:r>
          </w:p>
        </w:tc>
        <w:tc>
          <w:tcPr>
            <w:tcW w:w="3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C1BE9" w14:textId="7547F4A7" w:rsidR="00862551" w:rsidRPr="00A9601F" w:rsidRDefault="00862551" w:rsidP="00700D8B">
            <w:pPr>
              <w:spacing w:line="276" w:lineRule="auto"/>
              <w:rPr>
                <w:rFonts w:ascii="Arial" w:hAnsi="Arial" w:cs="Arial"/>
                <w:sz w:val="22"/>
                <w:szCs w:val="22"/>
                <w:lang w:eastAsia="en-US"/>
              </w:rPr>
            </w:pPr>
            <w:r w:rsidRPr="00862551">
              <w:rPr>
                <w:rFonts w:ascii="Arial" w:hAnsi="Arial" w:cs="Arial"/>
                <w:sz w:val="22"/>
                <w:szCs w:val="22"/>
                <w:lang w:eastAsia="en-US"/>
              </w:rPr>
              <w:t xml:space="preserve">A series of traffic and access improvements are proposed to enhance road safety and manage traffic through the area. These include improving the junction visibility at the B8034 and A81 in Port of Menteith, providing pedestrian warning signs along the B8034 between the A81 and Kate’s Brae, and enhancing visibility at the A81/A873 Hammersmith Corner junction for safer turning movements. Additional measures include improving the visibility of accesses onto the A873 at </w:t>
            </w:r>
            <w:proofErr w:type="spellStart"/>
            <w:r w:rsidRPr="00862551">
              <w:rPr>
                <w:rFonts w:ascii="Arial" w:hAnsi="Arial" w:cs="Arial"/>
                <w:sz w:val="22"/>
                <w:szCs w:val="22"/>
                <w:lang w:eastAsia="en-US"/>
              </w:rPr>
              <w:t>Blairhoyle</w:t>
            </w:r>
            <w:proofErr w:type="spellEnd"/>
            <w:r w:rsidRPr="00862551">
              <w:rPr>
                <w:rFonts w:ascii="Arial" w:hAnsi="Arial" w:cs="Arial"/>
                <w:sz w:val="22"/>
                <w:szCs w:val="22"/>
                <w:lang w:eastAsia="en-US"/>
              </w:rPr>
              <w:t xml:space="preserve"> and </w:t>
            </w:r>
            <w:proofErr w:type="spellStart"/>
            <w:proofErr w:type="gramStart"/>
            <w:r w:rsidRPr="00862551">
              <w:rPr>
                <w:rFonts w:ascii="Arial" w:hAnsi="Arial" w:cs="Arial"/>
                <w:sz w:val="22"/>
                <w:szCs w:val="22"/>
                <w:lang w:eastAsia="en-US"/>
              </w:rPr>
              <w:lastRenderedPageBreak/>
              <w:t>Ruskie</w:t>
            </w:r>
            <w:proofErr w:type="spellEnd"/>
            <w:r w:rsidRPr="00862551">
              <w:rPr>
                <w:rFonts w:ascii="Arial" w:hAnsi="Arial" w:cs="Arial"/>
                <w:sz w:val="22"/>
                <w:szCs w:val="22"/>
                <w:lang w:eastAsia="en-US"/>
              </w:rPr>
              <w:t>, and</w:t>
            </w:r>
            <w:proofErr w:type="gramEnd"/>
            <w:r w:rsidRPr="00862551">
              <w:rPr>
                <w:rFonts w:ascii="Arial" w:hAnsi="Arial" w:cs="Arial"/>
                <w:sz w:val="22"/>
                <w:szCs w:val="22"/>
                <w:lang w:eastAsia="en-US"/>
              </w:rPr>
              <w:t xml:space="preserve"> introducing traffic calming and speed limit improvements in Port of Menteith, Dykehead, </w:t>
            </w:r>
            <w:proofErr w:type="spellStart"/>
            <w:r w:rsidRPr="00862551">
              <w:rPr>
                <w:rFonts w:ascii="Arial" w:hAnsi="Arial" w:cs="Arial"/>
                <w:sz w:val="22"/>
                <w:szCs w:val="22"/>
                <w:lang w:eastAsia="en-US"/>
              </w:rPr>
              <w:t>Blairhoyle</w:t>
            </w:r>
            <w:proofErr w:type="spellEnd"/>
            <w:r w:rsidRPr="00862551">
              <w:rPr>
                <w:rFonts w:ascii="Arial" w:hAnsi="Arial" w:cs="Arial"/>
                <w:sz w:val="22"/>
                <w:szCs w:val="22"/>
                <w:lang w:eastAsia="en-US"/>
              </w:rPr>
              <w:t xml:space="preserve">, and </w:t>
            </w:r>
            <w:proofErr w:type="spellStart"/>
            <w:r w:rsidRPr="00862551">
              <w:rPr>
                <w:rFonts w:ascii="Arial" w:hAnsi="Arial" w:cs="Arial"/>
                <w:sz w:val="22"/>
                <w:szCs w:val="22"/>
                <w:lang w:eastAsia="en-US"/>
              </w:rPr>
              <w:t>Ruskie</w:t>
            </w:r>
            <w:proofErr w:type="spellEnd"/>
            <w:r w:rsidRPr="00862551">
              <w:rPr>
                <w:rFonts w:ascii="Arial" w:hAnsi="Arial" w:cs="Arial"/>
                <w:sz w:val="22"/>
                <w:szCs w:val="22"/>
                <w:lang w:eastAsia="en-US"/>
              </w:rPr>
              <w:t xml:space="preserve"> to create safer, more liveable communities.</w:t>
            </w:r>
          </w:p>
        </w:tc>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7B3C7" w14:textId="20C69EDA" w:rsidR="00862551" w:rsidRPr="00A9601F" w:rsidRDefault="00862551" w:rsidP="00700D8B">
            <w:pPr>
              <w:spacing w:line="276" w:lineRule="auto"/>
              <w:rPr>
                <w:rFonts w:ascii="Arial" w:hAnsi="Arial" w:cs="Arial"/>
                <w:sz w:val="22"/>
                <w:szCs w:val="22"/>
                <w:lang w:eastAsia="en-US"/>
              </w:rPr>
            </w:pPr>
            <w:r w:rsidRPr="00862551">
              <w:rPr>
                <w:rFonts w:ascii="Arial" w:hAnsi="Arial" w:cs="Arial"/>
                <w:sz w:val="22"/>
                <w:szCs w:val="22"/>
                <w:lang w:eastAsia="en-US"/>
              </w:rPr>
              <w:lastRenderedPageBreak/>
              <w:t>This proposal can be incorporated into the next LDP</w:t>
            </w:r>
            <w:r>
              <w:rPr>
                <w:rFonts w:ascii="Arial" w:hAnsi="Arial" w:cs="Arial"/>
                <w:b/>
                <w:bCs/>
                <w:sz w:val="22"/>
                <w:szCs w:val="22"/>
                <w:lang w:eastAsia="en-US"/>
              </w:rPr>
              <w:t xml:space="preserve"> </w:t>
            </w:r>
            <w:r w:rsidRPr="00862551">
              <w:rPr>
                <w:rFonts w:ascii="Arial" w:hAnsi="Arial" w:cs="Arial"/>
                <w:sz w:val="22"/>
                <w:szCs w:val="22"/>
                <w:lang w:eastAsia="en-US"/>
              </w:rPr>
              <w:t xml:space="preserve">by identifying key access, visibility, and traffic management improvements as priority infrastructure measures to support road safety and sustainable transport. The LDP should specifically reference the need to enhance junction safety at the B8034/A81 in Port of Menteith and A81/A873 at Hammersmith Corner, improve pedestrian safety along the B8034 near </w:t>
            </w:r>
            <w:r w:rsidRPr="00862551">
              <w:rPr>
                <w:rFonts w:ascii="Arial" w:hAnsi="Arial" w:cs="Arial"/>
                <w:sz w:val="22"/>
                <w:szCs w:val="22"/>
                <w:lang w:eastAsia="en-US"/>
              </w:rPr>
              <w:lastRenderedPageBreak/>
              <w:t xml:space="preserve">Kate's Brae, and address visibility at accesses in </w:t>
            </w:r>
            <w:proofErr w:type="spellStart"/>
            <w:r w:rsidRPr="00862551">
              <w:rPr>
                <w:rFonts w:ascii="Arial" w:hAnsi="Arial" w:cs="Arial"/>
                <w:sz w:val="22"/>
                <w:szCs w:val="22"/>
                <w:lang w:eastAsia="en-US"/>
              </w:rPr>
              <w:t>Blairhoyle</w:t>
            </w:r>
            <w:proofErr w:type="spellEnd"/>
            <w:r w:rsidRPr="00862551">
              <w:rPr>
                <w:rFonts w:ascii="Arial" w:hAnsi="Arial" w:cs="Arial"/>
                <w:sz w:val="22"/>
                <w:szCs w:val="22"/>
                <w:lang w:eastAsia="en-US"/>
              </w:rPr>
              <w:t xml:space="preserve"> and </w:t>
            </w:r>
            <w:proofErr w:type="spellStart"/>
            <w:r w:rsidRPr="00862551">
              <w:rPr>
                <w:rFonts w:ascii="Arial" w:hAnsi="Arial" w:cs="Arial"/>
                <w:sz w:val="22"/>
                <w:szCs w:val="22"/>
                <w:lang w:eastAsia="en-US"/>
              </w:rPr>
              <w:t>Ruskie</w:t>
            </w:r>
            <w:proofErr w:type="spellEnd"/>
            <w:r w:rsidRPr="00862551">
              <w:rPr>
                <w:rFonts w:ascii="Arial" w:hAnsi="Arial" w:cs="Arial"/>
                <w:sz w:val="22"/>
                <w:szCs w:val="22"/>
                <w:lang w:eastAsia="en-US"/>
              </w:rPr>
              <w:t xml:space="preserve">. </w:t>
            </w:r>
          </w:p>
        </w:tc>
      </w:tr>
    </w:tbl>
    <w:p w14:paraId="569A8D7E" w14:textId="77777777" w:rsidR="001129CC" w:rsidRDefault="001129CC" w:rsidP="00075FFE">
      <w:pPr>
        <w:spacing w:line="276" w:lineRule="auto"/>
        <w:rPr>
          <w:rFonts w:ascii="Arial" w:eastAsia="Arial" w:hAnsi="Arial" w:cs="Arial"/>
          <w:sz w:val="22"/>
          <w:szCs w:val="22"/>
        </w:rPr>
      </w:pPr>
    </w:p>
    <w:p w14:paraId="78BC52BF" w14:textId="77777777" w:rsidR="001129CC" w:rsidRDefault="001129CC" w:rsidP="00075FFE">
      <w:pPr>
        <w:spacing w:line="276" w:lineRule="auto"/>
        <w:rPr>
          <w:rFonts w:ascii="Arial" w:eastAsia="Arial" w:hAnsi="Arial" w:cs="Arial"/>
          <w:sz w:val="22"/>
          <w:szCs w:val="22"/>
        </w:rPr>
      </w:pPr>
    </w:p>
    <w:p w14:paraId="27A1E15C" w14:textId="77777777" w:rsidR="001129CC" w:rsidRDefault="001129CC" w:rsidP="00075FFE">
      <w:pPr>
        <w:spacing w:line="276" w:lineRule="auto"/>
        <w:rPr>
          <w:rFonts w:ascii="Arial" w:eastAsia="Arial" w:hAnsi="Arial" w:cs="Arial"/>
          <w:sz w:val="22"/>
          <w:szCs w:val="22"/>
        </w:rPr>
      </w:pPr>
    </w:p>
    <w:p w14:paraId="655E1C57" w14:textId="77777777" w:rsidR="001129CC" w:rsidRDefault="001129CC" w:rsidP="00075FFE">
      <w:pPr>
        <w:spacing w:line="276" w:lineRule="auto"/>
        <w:rPr>
          <w:rFonts w:ascii="Arial" w:eastAsia="Arial" w:hAnsi="Arial" w:cs="Arial"/>
          <w:sz w:val="22"/>
          <w:szCs w:val="22"/>
        </w:rPr>
      </w:pPr>
    </w:p>
    <w:p w14:paraId="45A12238" w14:textId="77777777" w:rsidR="001129CC" w:rsidRDefault="001129CC" w:rsidP="00075FFE">
      <w:pPr>
        <w:spacing w:line="276" w:lineRule="auto"/>
        <w:rPr>
          <w:rFonts w:ascii="Arial" w:eastAsia="Arial" w:hAnsi="Arial" w:cs="Arial"/>
          <w:sz w:val="22"/>
          <w:szCs w:val="22"/>
        </w:rPr>
      </w:pPr>
    </w:p>
    <w:p w14:paraId="1635F06D" w14:textId="77777777" w:rsidR="001129CC" w:rsidRDefault="001129CC" w:rsidP="00075FFE">
      <w:pPr>
        <w:spacing w:line="276" w:lineRule="auto"/>
        <w:rPr>
          <w:rFonts w:ascii="Arial" w:eastAsia="Arial" w:hAnsi="Arial" w:cs="Arial"/>
          <w:sz w:val="22"/>
          <w:szCs w:val="22"/>
        </w:rPr>
      </w:pPr>
    </w:p>
    <w:p w14:paraId="1658E121" w14:textId="77777777" w:rsidR="001129CC" w:rsidRDefault="001129CC" w:rsidP="00075FFE">
      <w:pPr>
        <w:spacing w:line="276" w:lineRule="auto"/>
        <w:rPr>
          <w:rFonts w:ascii="Arial" w:eastAsia="Arial" w:hAnsi="Arial" w:cs="Arial"/>
          <w:sz w:val="22"/>
          <w:szCs w:val="22"/>
        </w:rPr>
      </w:pPr>
    </w:p>
    <w:p w14:paraId="19836E8A" w14:textId="77777777" w:rsidR="001129CC" w:rsidRDefault="001129CC" w:rsidP="00075FFE">
      <w:pPr>
        <w:spacing w:line="276" w:lineRule="auto"/>
        <w:rPr>
          <w:rFonts w:ascii="Arial" w:eastAsia="Arial" w:hAnsi="Arial" w:cs="Arial"/>
          <w:sz w:val="22"/>
          <w:szCs w:val="22"/>
        </w:rPr>
      </w:pPr>
    </w:p>
    <w:p w14:paraId="6BE26B30" w14:textId="77777777" w:rsidR="00075FFE" w:rsidRPr="005D4494" w:rsidRDefault="00075FFE" w:rsidP="00075FFE">
      <w:pPr>
        <w:spacing w:line="276" w:lineRule="auto"/>
        <w:rPr>
          <w:rFonts w:ascii="Arial" w:hAnsi="Arial" w:cs="Arial"/>
          <w:sz w:val="22"/>
          <w:szCs w:val="22"/>
        </w:rPr>
      </w:pPr>
      <w:r w:rsidRPr="005D4494">
        <w:rPr>
          <w:rFonts w:ascii="Arial" w:hAnsi="Arial" w:cs="Arial"/>
          <w:b/>
          <w:bCs/>
          <w:sz w:val="22"/>
          <w:szCs w:val="22"/>
        </w:rPr>
        <w:t xml:space="preserve">Community’s Submission Statement </w:t>
      </w:r>
      <w:r>
        <w:rPr>
          <w:rFonts w:ascii="Arial" w:hAnsi="Arial" w:cs="Arial"/>
          <w:b/>
          <w:bCs/>
          <w:sz w:val="22"/>
          <w:szCs w:val="22"/>
        </w:rPr>
        <w:t xml:space="preserve">Appendix </w:t>
      </w:r>
      <w:r w:rsidRPr="005D4494">
        <w:rPr>
          <w:rFonts w:ascii="Arial" w:hAnsi="Arial" w:cs="Arial"/>
          <w:b/>
          <w:bCs/>
          <w:sz w:val="22"/>
          <w:szCs w:val="22"/>
        </w:rPr>
        <w:t>Checklist</w:t>
      </w:r>
      <w:r w:rsidRPr="005D4494">
        <w:rPr>
          <w:rFonts w:ascii="Arial" w:hAnsi="Arial" w:cs="Arial"/>
          <w:sz w:val="22"/>
          <w:szCs w:val="22"/>
        </w:rPr>
        <w:t>:</w:t>
      </w:r>
    </w:p>
    <w:p w14:paraId="683711B0" w14:textId="77777777" w:rsidR="00075FFE" w:rsidRPr="005D4494" w:rsidRDefault="00075FFE" w:rsidP="00075FFE">
      <w:pPr>
        <w:spacing w:line="276"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7512"/>
        <w:gridCol w:w="1504"/>
      </w:tblGrid>
      <w:tr w:rsidR="00075FFE" w:rsidRPr="005D4494" w14:paraId="67DF7B88" w14:textId="77777777" w:rsidTr="00645944">
        <w:tc>
          <w:tcPr>
            <w:tcW w:w="7560" w:type="dxa"/>
            <w:shd w:val="clear" w:color="auto" w:fill="EEECE1" w:themeFill="background2"/>
            <w:vAlign w:val="center"/>
          </w:tcPr>
          <w:p w14:paraId="23AE7384" w14:textId="77777777" w:rsidR="00075FFE" w:rsidRPr="005D4494" w:rsidRDefault="00075FFE" w:rsidP="00645944">
            <w:pPr>
              <w:spacing w:line="276" w:lineRule="auto"/>
              <w:jc w:val="center"/>
              <w:rPr>
                <w:rFonts w:ascii="Arial" w:eastAsia="Arial" w:hAnsi="Arial" w:cs="Arial"/>
              </w:rPr>
            </w:pPr>
            <w:r w:rsidRPr="005D4494">
              <w:rPr>
                <w:rFonts w:ascii="Arial" w:eastAsia="Arial" w:hAnsi="Arial" w:cs="Arial"/>
              </w:rPr>
              <w:t>To Do</w:t>
            </w:r>
          </w:p>
        </w:tc>
        <w:tc>
          <w:tcPr>
            <w:tcW w:w="1456" w:type="dxa"/>
            <w:shd w:val="clear" w:color="auto" w:fill="EEECE1" w:themeFill="background2"/>
          </w:tcPr>
          <w:p w14:paraId="76925BFA" w14:textId="77777777" w:rsidR="00075FFE" w:rsidRPr="005D4494" w:rsidRDefault="00075FFE" w:rsidP="00645944">
            <w:pPr>
              <w:spacing w:line="276" w:lineRule="auto"/>
              <w:jc w:val="center"/>
              <w:rPr>
                <w:rFonts w:ascii="Arial" w:hAnsi="Arial" w:cs="Arial"/>
              </w:rPr>
            </w:pPr>
            <w:r w:rsidRPr="005D4494">
              <w:rPr>
                <w:rFonts w:ascii="Arial" w:hAnsi="Arial" w:cs="Arial"/>
              </w:rPr>
              <w:t xml:space="preserve">  Done</w:t>
            </w:r>
          </w:p>
        </w:tc>
      </w:tr>
      <w:tr w:rsidR="00075FFE" w:rsidRPr="005D4494" w14:paraId="5DBC1738" w14:textId="77777777" w:rsidTr="00645944">
        <w:tc>
          <w:tcPr>
            <w:tcW w:w="7560" w:type="dxa"/>
          </w:tcPr>
          <w:p w14:paraId="0392F809" w14:textId="77777777" w:rsidR="00075FFE" w:rsidRPr="005D4494" w:rsidRDefault="00075FFE" w:rsidP="00075FFE">
            <w:pPr>
              <w:pStyle w:val="ListParagraph"/>
              <w:numPr>
                <w:ilvl w:val="0"/>
                <w:numId w:val="4"/>
              </w:numPr>
              <w:spacing w:line="276" w:lineRule="auto"/>
              <w:ind w:left="459"/>
              <w:rPr>
                <w:rFonts w:ascii="Arial" w:hAnsi="Arial" w:cs="Arial"/>
              </w:rPr>
            </w:pPr>
            <w:r>
              <w:rPr>
                <w:rFonts w:ascii="Arial" w:hAnsi="Arial" w:cs="Arial"/>
              </w:rPr>
              <w:t>A digital copy or link to the Local Place Plan so it can be downloaded.</w:t>
            </w:r>
          </w:p>
        </w:tc>
        <w:tc>
          <w:tcPr>
            <w:tcW w:w="1456" w:type="dxa"/>
          </w:tcPr>
          <w:p w14:paraId="38422CC3" w14:textId="6AC051C4" w:rsidR="00075FFE" w:rsidRPr="005D4494" w:rsidRDefault="00806F42" w:rsidP="00645944">
            <w:pPr>
              <w:spacing w:line="276" w:lineRule="auto"/>
              <w:rPr>
                <w:rFonts w:ascii="Arial" w:hAnsi="Arial" w:cs="Arial"/>
              </w:rPr>
            </w:pPr>
            <w:r>
              <w:rPr>
                <w:rFonts w:ascii="Arial" w:hAnsi="Arial" w:cs="Arial"/>
              </w:rPr>
              <w:t>Yes</w:t>
            </w:r>
          </w:p>
        </w:tc>
      </w:tr>
      <w:tr w:rsidR="00075FFE" w:rsidRPr="005D4494" w14:paraId="4FB72C1D" w14:textId="77777777" w:rsidTr="00645944">
        <w:tc>
          <w:tcPr>
            <w:tcW w:w="7560" w:type="dxa"/>
          </w:tcPr>
          <w:p w14:paraId="13D3AC25" w14:textId="77777777" w:rsidR="00075FFE" w:rsidRPr="005D4494" w:rsidRDefault="00075FFE" w:rsidP="00075FFE">
            <w:pPr>
              <w:pStyle w:val="ListParagraph"/>
              <w:numPr>
                <w:ilvl w:val="0"/>
                <w:numId w:val="4"/>
              </w:numPr>
              <w:spacing w:line="276" w:lineRule="auto"/>
              <w:ind w:left="459"/>
              <w:rPr>
                <w:rFonts w:ascii="Arial" w:eastAsia="Arial" w:hAnsi="Arial" w:cs="Arial"/>
              </w:rPr>
            </w:pPr>
            <w:r w:rsidRPr="005D4494">
              <w:rPr>
                <w:rFonts w:ascii="Arial" w:eastAsia="Arial" w:hAnsi="Arial" w:cs="Arial"/>
              </w:rPr>
              <w:t xml:space="preserve">A copy of the written constitution of the community body </w:t>
            </w:r>
            <w:r>
              <w:rPr>
                <w:rFonts w:ascii="Arial" w:eastAsia="Arial" w:hAnsi="Arial" w:cs="Arial"/>
              </w:rPr>
              <w:t>if not a community council</w:t>
            </w:r>
          </w:p>
        </w:tc>
        <w:tc>
          <w:tcPr>
            <w:tcW w:w="1456" w:type="dxa"/>
          </w:tcPr>
          <w:p w14:paraId="3A7FB107" w14:textId="3460B0DB" w:rsidR="00075FFE" w:rsidRPr="005D4494" w:rsidRDefault="00806F42" w:rsidP="00645944">
            <w:pPr>
              <w:spacing w:line="276" w:lineRule="auto"/>
              <w:rPr>
                <w:rFonts w:ascii="Arial" w:hAnsi="Arial" w:cs="Arial"/>
              </w:rPr>
            </w:pPr>
            <w:r>
              <w:rPr>
                <w:rFonts w:ascii="Arial" w:hAnsi="Arial" w:cs="Arial"/>
              </w:rPr>
              <w:t>Yes</w:t>
            </w:r>
          </w:p>
        </w:tc>
      </w:tr>
      <w:tr w:rsidR="00075FFE" w:rsidRPr="005D4494" w14:paraId="36C168D9" w14:textId="77777777" w:rsidTr="00645944">
        <w:tc>
          <w:tcPr>
            <w:tcW w:w="7560" w:type="dxa"/>
          </w:tcPr>
          <w:p w14:paraId="412434D1" w14:textId="77777777" w:rsidR="00075FFE" w:rsidRPr="005D4494" w:rsidRDefault="00075FFE" w:rsidP="00075FFE">
            <w:pPr>
              <w:pStyle w:val="ListParagraph"/>
              <w:numPr>
                <w:ilvl w:val="0"/>
                <w:numId w:val="4"/>
              </w:numPr>
              <w:spacing w:line="276" w:lineRule="auto"/>
              <w:ind w:left="459"/>
              <w:rPr>
                <w:rFonts w:ascii="Arial" w:hAnsi="Arial" w:cs="Arial"/>
              </w:rPr>
            </w:pPr>
            <w:r w:rsidRPr="005D4494">
              <w:rPr>
                <w:rFonts w:ascii="Arial" w:eastAsia="Arial" w:hAnsi="Arial" w:cs="Arial"/>
              </w:rPr>
              <w:t xml:space="preserve">Copy of </w:t>
            </w:r>
            <w:r w:rsidRPr="005D4494">
              <w:rPr>
                <w:rFonts w:ascii="Arial" w:eastAsia="Arial" w:hAnsi="Arial" w:cs="Arial"/>
                <w:i/>
                <w:iCs/>
              </w:rPr>
              <w:t>Information Notice</w:t>
            </w:r>
            <w:r w:rsidRPr="005D4494">
              <w:rPr>
                <w:rFonts w:ascii="Arial" w:eastAsia="Arial" w:hAnsi="Arial" w:cs="Arial"/>
              </w:rPr>
              <w:t xml:space="preserve"> </w:t>
            </w:r>
          </w:p>
        </w:tc>
        <w:tc>
          <w:tcPr>
            <w:tcW w:w="1456" w:type="dxa"/>
          </w:tcPr>
          <w:p w14:paraId="250B1F6D" w14:textId="3BB4608E" w:rsidR="00075FFE" w:rsidRPr="005D4494" w:rsidRDefault="00806F42" w:rsidP="00645944">
            <w:pPr>
              <w:spacing w:line="276" w:lineRule="auto"/>
              <w:rPr>
                <w:rFonts w:ascii="Arial" w:hAnsi="Arial" w:cs="Arial"/>
              </w:rPr>
            </w:pPr>
            <w:r>
              <w:rPr>
                <w:rFonts w:ascii="Arial" w:hAnsi="Arial" w:cs="Arial"/>
              </w:rPr>
              <w:t>Yes</w:t>
            </w:r>
          </w:p>
        </w:tc>
      </w:tr>
      <w:tr w:rsidR="00075FFE" w:rsidRPr="005D4494" w14:paraId="7583DDD5" w14:textId="77777777" w:rsidTr="00645944">
        <w:tc>
          <w:tcPr>
            <w:tcW w:w="7560" w:type="dxa"/>
          </w:tcPr>
          <w:p w14:paraId="34E014EA" w14:textId="77777777" w:rsidR="00075FFE" w:rsidRPr="005D4494" w:rsidRDefault="00075FFE" w:rsidP="00075FFE">
            <w:pPr>
              <w:pStyle w:val="ListParagraph"/>
              <w:numPr>
                <w:ilvl w:val="0"/>
                <w:numId w:val="4"/>
              </w:numPr>
              <w:spacing w:line="276" w:lineRule="auto"/>
              <w:ind w:left="459"/>
              <w:rPr>
                <w:rFonts w:ascii="Arial" w:hAnsi="Arial" w:cs="Arial"/>
              </w:rPr>
            </w:pPr>
            <w:r w:rsidRPr="005D4494">
              <w:rPr>
                <w:rFonts w:ascii="Arial" w:eastAsia="Arial" w:hAnsi="Arial" w:cs="Arial"/>
              </w:rPr>
              <w:t xml:space="preserve">Copies of </w:t>
            </w:r>
            <w:r>
              <w:rPr>
                <w:rFonts w:ascii="Arial" w:eastAsia="Arial" w:hAnsi="Arial" w:cs="Arial"/>
              </w:rPr>
              <w:t xml:space="preserve">any other </w:t>
            </w:r>
            <w:r w:rsidRPr="005D4494">
              <w:rPr>
                <w:rFonts w:ascii="Arial" w:eastAsia="Arial" w:hAnsi="Arial" w:cs="Arial"/>
              </w:rPr>
              <w:t>document</w:t>
            </w:r>
            <w:r>
              <w:rPr>
                <w:rFonts w:ascii="Arial" w:eastAsia="Arial" w:hAnsi="Arial" w:cs="Arial"/>
              </w:rPr>
              <w:t>s</w:t>
            </w:r>
            <w:r w:rsidRPr="005D4494">
              <w:rPr>
                <w:rFonts w:ascii="Arial" w:eastAsia="Arial" w:hAnsi="Arial" w:cs="Arial"/>
              </w:rPr>
              <w:t xml:space="preserve"> referred to in LPP (not NPA docs)</w:t>
            </w:r>
          </w:p>
        </w:tc>
        <w:tc>
          <w:tcPr>
            <w:tcW w:w="1456" w:type="dxa"/>
          </w:tcPr>
          <w:p w14:paraId="138F24CF" w14:textId="4522C772" w:rsidR="00075FFE" w:rsidRPr="005D4494" w:rsidRDefault="00806F42" w:rsidP="00645944">
            <w:pPr>
              <w:spacing w:line="276" w:lineRule="auto"/>
              <w:rPr>
                <w:rFonts w:ascii="Arial" w:hAnsi="Arial" w:cs="Arial"/>
              </w:rPr>
            </w:pPr>
            <w:r>
              <w:rPr>
                <w:rFonts w:ascii="Arial" w:hAnsi="Arial" w:cs="Arial"/>
              </w:rPr>
              <w:t>N/A</w:t>
            </w:r>
          </w:p>
        </w:tc>
      </w:tr>
    </w:tbl>
    <w:p w14:paraId="60F533E0" w14:textId="77777777" w:rsidR="009C165D" w:rsidRPr="00B9162F" w:rsidRDefault="009C165D">
      <w:pPr>
        <w:rPr>
          <w:rFonts w:ascii="Arial" w:hAnsi="Arial" w:cs="Arial"/>
        </w:rPr>
      </w:pPr>
    </w:p>
    <w:sectPr w:rsidR="009C165D" w:rsidRPr="00B91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231B"/>
    <w:multiLevelType w:val="hybridMultilevel"/>
    <w:tmpl w:val="E612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87117"/>
    <w:multiLevelType w:val="hybridMultilevel"/>
    <w:tmpl w:val="A348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847D7"/>
    <w:multiLevelType w:val="hybridMultilevel"/>
    <w:tmpl w:val="C34838B0"/>
    <w:lvl w:ilvl="0" w:tplc="15BC1CE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E79C6"/>
    <w:multiLevelType w:val="hybridMultilevel"/>
    <w:tmpl w:val="C248EB62"/>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91CD7"/>
    <w:multiLevelType w:val="hybridMultilevel"/>
    <w:tmpl w:val="63948F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21001927">
    <w:abstractNumId w:val="1"/>
  </w:num>
  <w:num w:numId="2" w16cid:durableId="748189115">
    <w:abstractNumId w:val="3"/>
  </w:num>
  <w:num w:numId="3" w16cid:durableId="486826769">
    <w:abstractNumId w:val="2"/>
  </w:num>
  <w:num w:numId="4" w16cid:durableId="1995798918">
    <w:abstractNumId w:val="4"/>
  </w:num>
  <w:num w:numId="5" w16cid:durableId="41721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FE"/>
    <w:rsid w:val="00075FFE"/>
    <w:rsid w:val="00093A47"/>
    <w:rsid w:val="001129CC"/>
    <w:rsid w:val="002032BE"/>
    <w:rsid w:val="00386ED8"/>
    <w:rsid w:val="003E53AF"/>
    <w:rsid w:val="004000A3"/>
    <w:rsid w:val="00591AB3"/>
    <w:rsid w:val="006720A1"/>
    <w:rsid w:val="007D279D"/>
    <w:rsid w:val="00806F42"/>
    <w:rsid w:val="00862551"/>
    <w:rsid w:val="009A182D"/>
    <w:rsid w:val="009C165D"/>
    <w:rsid w:val="009D7A51"/>
    <w:rsid w:val="00A35103"/>
    <w:rsid w:val="00A82BC4"/>
    <w:rsid w:val="00AB36E9"/>
    <w:rsid w:val="00AD152A"/>
    <w:rsid w:val="00B152BF"/>
    <w:rsid w:val="00B9162F"/>
    <w:rsid w:val="00CB07BA"/>
    <w:rsid w:val="00E61061"/>
    <w:rsid w:val="00F1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9A7A"/>
  <w15:chartTrackingRefBased/>
  <w15:docId w15:val="{F7AD0032-4388-49BF-825C-E5F028A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F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75F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75F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5FF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75FF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75FF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75F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F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F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F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F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75F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75FF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75FF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75FF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75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FFE"/>
    <w:rPr>
      <w:rFonts w:eastAsiaTheme="majorEastAsia" w:cstheme="majorBidi"/>
      <w:color w:val="272727" w:themeColor="text1" w:themeTint="D8"/>
    </w:rPr>
  </w:style>
  <w:style w:type="paragraph" w:styleId="Title">
    <w:name w:val="Title"/>
    <w:basedOn w:val="Normal"/>
    <w:next w:val="Normal"/>
    <w:link w:val="TitleChar"/>
    <w:uiPriority w:val="10"/>
    <w:qFormat/>
    <w:rsid w:val="00075F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F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5FFE"/>
    <w:rPr>
      <w:i/>
      <w:iCs/>
      <w:color w:val="404040" w:themeColor="text1" w:themeTint="BF"/>
    </w:rPr>
  </w:style>
  <w:style w:type="paragraph" w:styleId="ListParagraph">
    <w:name w:val="List Paragraph"/>
    <w:basedOn w:val="Normal"/>
    <w:uiPriority w:val="34"/>
    <w:qFormat/>
    <w:rsid w:val="00075FFE"/>
    <w:pPr>
      <w:ind w:left="720"/>
      <w:contextualSpacing/>
    </w:pPr>
  </w:style>
  <w:style w:type="character" w:styleId="IntenseEmphasis">
    <w:name w:val="Intense Emphasis"/>
    <w:basedOn w:val="DefaultParagraphFont"/>
    <w:uiPriority w:val="21"/>
    <w:qFormat/>
    <w:rsid w:val="00075FFE"/>
    <w:rPr>
      <w:i/>
      <w:iCs/>
      <w:color w:val="365F91" w:themeColor="accent1" w:themeShade="BF"/>
    </w:rPr>
  </w:style>
  <w:style w:type="paragraph" w:styleId="IntenseQuote">
    <w:name w:val="Intense Quote"/>
    <w:basedOn w:val="Normal"/>
    <w:next w:val="Normal"/>
    <w:link w:val="IntenseQuoteChar"/>
    <w:uiPriority w:val="30"/>
    <w:qFormat/>
    <w:rsid w:val="00075F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75FFE"/>
    <w:rPr>
      <w:i/>
      <w:iCs/>
      <w:color w:val="365F91" w:themeColor="accent1" w:themeShade="BF"/>
    </w:rPr>
  </w:style>
  <w:style w:type="character" w:styleId="IntenseReference">
    <w:name w:val="Intense Reference"/>
    <w:basedOn w:val="DefaultParagraphFont"/>
    <w:uiPriority w:val="32"/>
    <w:qFormat/>
    <w:rsid w:val="00075FFE"/>
    <w:rPr>
      <w:b/>
      <w:bCs/>
      <w:smallCaps/>
      <w:color w:val="365F91" w:themeColor="accent1" w:themeShade="BF"/>
      <w:spacing w:val="5"/>
    </w:rPr>
  </w:style>
  <w:style w:type="character" w:styleId="Hyperlink">
    <w:name w:val="Hyperlink"/>
    <w:basedOn w:val="DefaultParagraphFont"/>
    <w:uiPriority w:val="99"/>
    <w:unhideWhenUsed/>
    <w:rsid w:val="00075FFE"/>
    <w:rPr>
      <w:color w:val="0000FF"/>
      <w:u w:val="single"/>
    </w:rPr>
  </w:style>
  <w:style w:type="paragraph" w:customStyle="1" w:styleId="Default">
    <w:name w:val="Default"/>
    <w:rsid w:val="00075FFE"/>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59"/>
    <w:rsid w:val="00075FFE"/>
    <w:pPr>
      <w:spacing w:after="0" w:line="240" w:lineRule="auto"/>
      <w:ind w:left="714" w:hanging="357"/>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2636">
      <w:bodyDiv w:val="1"/>
      <w:marLeft w:val="0"/>
      <w:marRight w:val="0"/>
      <w:marTop w:val="0"/>
      <w:marBottom w:val="0"/>
      <w:divBdr>
        <w:top w:val="none" w:sz="0" w:space="0" w:color="auto"/>
        <w:left w:val="none" w:sz="0" w:space="0" w:color="auto"/>
        <w:bottom w:val="none" w:sz="0" w:space="0" w:color="auto"/>
        <w:right w:val="none" w:sz="0" w:space="0" w:color="auto"/>
      </w:divBdr>
    </w:div>
    <w:div w:id="336732625">
      <w:bodyDiv w:val="1"/>
      <w:marLeft w:val="0"/>
      <w:marRight w:val="0"/>
      <w:marTop w:val="0"/>
      <w:marBottom w:val="0"/>
      <w:divBdr>
        <w:top w:val="none" w:sz="0" w:space="0" w:color="auto"/>
        <w:left w:val="none" w:sz="0" w:space="0" w:color="auto"/>
        <w:bottom w:val="none" w:sz="0" w:space="0" w:color="auto"/>
        <w:right w:val="none" w:sz="0" w:space="0" w:color="auto"/>
      </w:divBdr>
    </w:div>
    <w:div w:id="409935729">
      <w:bodyDiv w:val="1"/>
      <w:marLeft w:val="0"/>
      <w:marRight w:val="0"/>
      <w:marTop w:val="0"/>
      <w:marBottom w:val="0"/>
      <w:divBdr>
        <w:top w:val="none" w:sz="0" w:space="0" w:color="auto"/>
        <w:left w:val="none" w:sz="0" w:space="0" w:color="auto"/>
        <w:bottom w:val="none" w:sz="0" w:space="0" w:color="auto"/>
        <w:right w:val="none" w:sz="0" w:space="0" w:color="auto"/>
      </w:divBdr>
    </w:div>
    <w:div w:id="422803300">
      <w:bodyDiv w:val="1"/>
      <w:marLeft w:val="0"/>
      <w:marRight w:val="0"/>
      <w:marTop w:val="0"/>
      <w:marBottom w:val="0"/>
      <w:divBdr>
        <w:top w:val="none" w:sz="0" w:space="0" w:color="auto"/>
        <w:left w:val="none" w:sz="0" w:space="0" w:color="auto"/>
        <w:bottom w:val="none" w:sz="0" w:space="0" w:color="auto"/>
        <w:right w:val="none" w:sz="0" w:space="0" w:color="auto"/>
      </w:divBdr>
    </w:div>
    <w:div w:id="444034905">
      <w:bodyDiv w:val="1"/>
      <w:marLeft w:val="0"/>
      <w:marRight w:val="0"/>
      <w:marTop w:val="0"/>
      <w:marBottom w:val="0"/>
      <w:divBdr>
        <w:top w:val="none" w:sz="0" w:space="0" w:color="auto"/>
        <w:left w:val="none" w:sz="0" w:space="0" w:color="auto"/>
        <w:bottom w:val="none" w:sz="0" w:space="0" w:color="auto"/>
        <w:right w:val="none" w:sz="0" w:space="0" w:color="auto"/>
      </w:divBdr>
    </w:div>
    <w:div w:id="455755507">
      <w:bodyDiv w:val="1"/>
      <w:marLeft w:val="0"/>
      <w:marRight w:val="0"/>
      <w:marTop w:val="0"/>
      <w:marBottom w:val="0"/>
      <w:divBdr>
        <w:top w:val="none" w:sz="0" w:space="0" w:color="auto"/>
        <w:left w:val="none" w:sz="0" w:space="0" w:color="auto"/>
        <w:bottom w:val="none" w:sz="0" w:space="0" w:color="auto"/>
        <w:right w:val="none" w:sz="0" w:space="0" w:color="auto"/>
      </w:divBdr>
    </w:div>
    <w:div w:id="1210145032">
      <w:bodyDiv w:val="1"/>
      <w:marLeft w:val="0"/>
      <w:marRight w:val="0"/>
      <w:marTop w:val="0"/>
      <w:marBottom w:val="0"/>
      <w:divBdr>
        <w:top w:val="none" w:sz="0" w:space="0" w:color="auto"/>
        <w:left w:val="none" w:sz="0" w:space="0" w:color="auto"/>
        <w:bottom w:val="none" w:sz="0" w:space="0" w:color="auto"/>
        <w:right w:val="none" w:sz="0" w:space="0" w:color="auto"/>
      </w:divBdr>
    </w:div>
    <w:div w:id="1269579949">
      <w:bodyDiv w:val="1"/>
      <w:marLeft w:val="0"/>
      <w:marRight w:val="0"/>
      <w:marTop w:val="0"/>
      <w:marBottom w:val="0"/>
      <w:divBdr>
        <w:top w:val="none" w:sz="0" w:space="0" w:color="auto"/>
        <w:left w:val="none" w:sz="0" w:space="0" w:color="auto"/>
        <w:bottom w:val="none" w:sz="0" w:space="0" w:color="auto"/>
        <w:right w:val="none" w:sz="0" w:space="0" w:color="auto"/>
      </w:divBdr>
    </w:div>
    <w:div w:id="1342510446">
      <w:bodyDiv w:val="1"/>
      <w:marLeft w:val="0"/>
      <w:marRight w:val="0"/>
      <w:marTop w:val="0"/>
      <w:marBottom w:val="0"/>
      <w:divBdr>
        <w:top w:val="none" w:sz="0" w:space="0" w:color="auto"/>
        <w:left w:val="none" w:sz="0" w:space="0" w:color="auto"/>
        <w:bottom w:val="none" w:sz="0" w:space="0" w:color="auto"/>
        <w:right w:val="none" w:sz="0" w:space="0" w:color="auto"/>
      </w:divBdr>
    </w:div>
    <w:div w:id="1355110017">
      <w:bodyDiv w:val="1"/>
      <w:marLeft w:val="0"/>
      <w:marRight w:val="0"/>
      <w:marTop w:val="0"/>
      <w:marBottom w:val="0"/>
      <w:divBdr>
        <w:top w:val="none" w:sz="0" w:space="0" w:color="auto"/>
        <w:left w:val="none" w:sz="0" w:space="0" w:color="auto"/>
        <w:bottom w:val="none" w:sz="0" w:space="0" w:color="auto"/>
        <w:right w:val="none" w:sz="0" w:space="0" w:color="auto"/>
      </w:divBdr>
    </w:div>
    <w:div w:id="1598292077">
      <w:bodyDiv w:val="1"/>
      <w:marLeft w:val="0"/>
      <w:marRight w:val="0"/>
      <w:marTop w:val="0"/>
      <w:marBottom w:val="0"/>
      <w:divBdr>
        <w:top w:val="none" w:sz="0" w:space="0" w:color="auto"/>
        <w:left w:val="none" w:sz="0" w:space="0" w:color="auto"/>
        <w:bottom w:val="none" w:sz="0" w:space="0" w:color="auto"/>
        <w:right w:val="none" w:sz="0" w:space="0" w:color="auto"/>
      </w:divBdr>
    </w:div>
    <w:div w:id="1751657937">
      <w:bodyDiv w:val="1"/>
      <w:marLeft w:val="0"/>
      <w:marRight w:val="0"/>
      <w:marTop w:val="0"/>
      <w:marBottom w:val="0"/>
      <w:divBdr>
        <w:top w:val="none" w:sz="0" w:space="0" w:color="auto"/>
        <w:left w:val="none" w:sz="0" w:space="0" w:color="auto"/>
        <w:bottom w:val="none" w:sz="0" w:space="0" w:color="auto"/>
        <w:right w:val="none" w:sz="0" w:space="0" w:color="auto"/>
      </w:divBdr>
    </w:div>
    <w:div w:id="1813130641">
      <w:bodyDiv w:val="1"/>
      <w:marLeft w:val="0"/>
      <w:marRight w:val="0"/>
      <w:marTop w:val="0"/>
      <w:marBottom w:val="0"/>
      <w:divBdr>
        <w:top w:val="none" w:sz="0" w:space="0" w:color="auto"/>
        <w:left w:val="none" w:sz="0" w:space="0" w:color="auto"/>
        <w:bottom w:val="none" w:sz="0" w:space="0" w:color="auto"/>
        <w:right w:val="none" w:sz="0" w:space="0" w:color="auto"/>
      </w:divBdr>
    </w:div>
    <w:div w:id="1959751961">
      <w:bodyDiv w:val="1"/>
      <w:marLeft w:val="0"/>
      <w:marRight w:val="0"/>
      <w:marTop w:val="0"/>
      <w:marBottom w:val="0"/>
      <w:divBdr>
        <w:top w:val="none" w:sz="0" w:space="0" w:color="auto"/>
        <w:left w:val="none" w:sz="0" w:space="0" w:color="auto"/>
        <w:bottom w:val="none" w:sz="0" w:space="0" w:color="auto"/>
        <w:right w:val="none" w:sz="0" w:space="0" w:color="auto"/>
      </w:divBdr>
    </w:div>
    <w:div w:id="2091123722">
      <w:bodyDiv w:val="1"/>
      <w:marLeft w:val="0"/>
      <w:marRight w:val="0"/>
      <w:marTop w:val="0"/>
      <w:marBottom w:val="0"/>
      <w:divBdr>
        <w:top w:val="none" w:sz="0" w:space="0" w:color="auto"/>
        <w:left w:val="none" w:sz="0" w:space="0" w:color="auto"/>
        <w:bottom w:val="none" w:sz="0" w:space="0" w:color="auto"/>
        <w:right w:val="none" w:sz="0" w:space="0" w:color="auto"/>
      </w:divBdr>
    </w:div>
    <w:div w:id="21022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portofmenteith.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hlomond-trossachs.org/park-authority/what-we-do/national-park-partnership-plan-2018-2023/" TargetMode="External"/><Relationship Id="rId5" Type="http://schemas.openxmlformats.org/officeDocument/2006/relationships/styles" Target="styles.xml"/><Relationship Id="rId10" Type="http://schemas.openxmlformats.org/officeDocument/2006/relationships/hyperlink" Target="https://www.lochlomond-trossachs.org/planning/planning-guidance/local-development-plan/" TargetMode="External"/><Relationship Id="rId4" Type="http://schemas.openxmlformats.org/officeDocument/2006/relationships/numbering" Target="numbering.xml"/><Relationship Id="rId9" Type="http://schemas.openxmlformats.org/officeDocument/2006/relationships/hyperlink" Target="https://www.gov.scot/publications/national-planning-framewor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7A6C372B28A4ABF2E1DCC2B9E9114" ma:contentTypeVersion="15" ma:contentTypeDescription="Create a new document." ma:contentTypeScope="" ma:versionID="6f071945b6c06058fdc46acbf9a6190c">
  <xsd:schema xmlns:xsd="http://www.w3.org/2001/XMLSchema" xmlns:xs="http://www.w3.org/2001/XMLSchema" xmlns:p="http://schemas.microsoft.com/office/2006/metadata/properties" xmlns:ns2="cd9c950c-f1e6-44a1-a0a1-c003a868d205" xmlns:ns3="1e2c31d0-bf6c-47b5-8ecc-03e014eb75ad" targetNamespace="http://schemas.microsoft.com/office/2006/metadata/properties" ma:root="true" ma:fieldsID="96c6826c496df03ebf1a747d3f592aba" ns2:_="" ns3:_="">
    <xsd:import namespace="cd9c950c-f1e6-44a1-a0a1-c003a868d205"/>
    <xsd:import namespace="1e2c31d0-bf6c-47b5-8ecc-03e014eb7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c950c-f1e6-44a1-a0a1-c003a868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c31d0-bf6c-47b5-8ecc-03e014eb7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6e01af-f495-47ce-84bf-ce57594f0c9c}" ma:internalName="TaxCatchAll" ma:showField="CatchAllData" ma:web="1e2c31d0-bf6c-47b5-8ecc-03e014eb7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c950c-f1e6-44a1-a0a1-c003a868d205">
      <Terms xmlns="http://schemas.microsoft.com/office/infopath/2007/PartnerControls"/>
    </lcf76f155ced4ddcb4097134ff3c332f>
    <TaxCatchAll xmlns="1e2c31d0-bf6c-47b5-8ecc-03e014eb7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70F04-CB9F-4462-B0D7-3F6C6738E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c950c-f1e6-44a1-a0a1-c003a868d205"/>
    <ds:schemaRef ds:uri="1e2c31d0-bf6c-47b5-8ecc-03e014eb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D97A8-6701-4182-AB67-04446728FA13}">
  <ds:schemaRefs>
    <ds:schemaRef ds:uri="http://purl.org/dc/terms/"/>
    <ds:schemaRef ds:uri="http://schemas.microsoft.com/office/2006/metadata/properties"/>
    <ds:schemaRef ds:uri="cd9c950c-f1e6-44a1-a0a1-c003a868d205"/>
    <ds:schemaRef ds:uri="1e2c31d0-bf6c-47b5-8ecc-03e014eb75ad"/>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B7A22B8-9D84-4F42-8F5A-3DFA7679F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7</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Loch Lomond and Trossachs National Park Authority</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dc:creator>
  <cp:keywords/>
  <dc:description/>
  <cp:lastModifiedBy>Laura Mowat</cp:lastModifiedBy>
  <cp:revision>8</cp:revision>
  <dcterms:created xsi:type="dcterms:W3CDTF">2025-06-09T09:21:00Z</dcterms:created>
  <dcterms:modified xsi:type="dcterms:W3CDTF">2025-07-21T15:56:00Z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0x0101007257A6C372B28A4ABF2E1DCC2B9E9114</vt:lpwstr>
  </property>
  <property fmtid="{D5CDD505-2E9C-101B-9397-08002B2CF9AE}" pid="3" name="MediaServiceImageTags">
    <vt:lpwstr/>
  </property>
</Properties>
</file>