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761F4" w14:textId="77777777" w:rsidR="008C2F0D" w:rsidRPr="008C2F0D" w:rsidRDefault="00DE5634">
      <w:pPr>
        <w:rPr>
          <w:sz w:val="24"/>
        </w:rPr>
      </w:pPr>
      <w:r w:rsidRPr="008C2F0D">
        <w:rPr>
          <w:sz w:val="24"/>
        </w:rPr>
        <w:t>Read and refer to the</w:t>
      </w:r>
      <w:r w:rsidR="003D3203" w:rsidRPr="008C2F0D">
        <w:rPr>
          <w:sz w:val="24"/>
        </w:rPr>
        <w:t xml:space="preserve"> </w:t>
      </w:r>
      <w:hyperlink r:id="rId12" w:history="1">
        <w:r w:rsidR="003D3203" w:rsidRPr="008C2F0D">
          <w:rPr>
            <w:rStyle w:val="Hyperlink"/>
            <w:sz w:val="24"/>
          </w:rPr>
          <w:t>Equality Impact Assessment Guidance</w:t>
        </w:r>
      </w:hyperlink>
      <w:r w:rsidR="003D3203" w:rsidRPr="008C2F0D">
        <w:rPr>
          <w:sz w:val="24"/>
        </w:rPr>
        <w:t xml:space="preserve"> </w:t>
      </w:r>
      <w:r w:rsidR="00D3633B" w:rsidRPr="008C2F0D">
        <w:rPr>
          <w:sz w:val="24"/>
        </w:rPr>
        <w:t>document whilst completing this template.</w:t>
      </w:r>
      <w:r w:rsidR="008C2F0D" w:rsidRPr="008C2F0D">
        <w:rPr>
          <w:sz w:val="24"/>
        </w:rPr>
        <w:t xml:space="preserve"> </w:t>
      </w:r>
    </w:p>
    <w:p w14:paraId="4E95C287" w14:textId="77777777" w:rsidR="001E1772" w:rsidRDefault="008C2F0D">
      <w:pPr>
        <w:rPr>
          <w:sz w:val="20"/>
          <w:szCs w:val="20"/>
        </w:rPr>
      </w:pPr>
      <w:r w:rsidRPr="008C2F0D">
        <w:rPr>
          <w:sz w:val="24"/>
        </w:rPr>
        <w:t>T</w:t>
      </w:r>
      <w:r>
        <w:rPr>
          <w:sz w:val="24"/>
        </w:rPr>
        <w:t xml:space="preserve">he Park for All group </w:t>
      </w:r>
      <w:r w:rsidRPr="008C2F0D">
        <w:rPr>
          <w:sz w:val="24"/>
        </w:rPr>
        <w:t xml:space="preserve">review all </w:t>
      </w:r>
      <w:proofErr w:type="spellStart"/>
      <w:r w:rsidRPr="008C2F0D">
        <w:rPr>
          <w:sz w:val="24"/>
        </w:rPr>
        <w:t>EqIAs</w:t>
      </w:r>
      <w:proofErr w:type="spellEnd"/>
      <w:r w:rsidRPr="008C2F0D">
        <w:rPr>
          <w:sz w:val="24"/>
        </w:rPr>
        <w:t xml:space="preserve"> – </w:t>
      </w:r>
      <w:r>
        <w:rPr>
          <w:sz w:val="24"/>
        </w:rPr>
        <w:t xml:space="preserve">please click </w:t>
      </w:r>
      <w:hyperlink r:id="rId13" w:history="1">
        <w:r w:rsidRPr="008C2F0D">
          <w:rPr>
            <w:rStyle w:val="Hyperlink"/>
            <w:sz w:val="24"/>
          </w:rPr>
          <w:t>here</w:t>
        </w:r>
      </w:hyperlink>
      <w:r>
        <w:rPr>
          <w:sz w:val="24"/>
        </w:rPr>
        <w:t xml:space="preserve"> for the process.</w:t>
      </w:r>
      <w:r w:rsidR="001E1772">
        <w:rPr>
          <w:sz w:val="24"/>
        </w:rPr>
        <w:br/>
      </w:r>
    </w:p>
    <w:p w14:paraId="62549CAB" w14:textId="77777777" w:rsidR="00D3633B" w:rsidRPr="001E1772" w:rsidRDefault="001E1772">
      <w:pPr>
        <w:rPr>
          <w:sz w:val="20"/>
          <w:szCs w:val="20"/>
        </w:rPr>
      </w:pPr>
      <w:r w:rsidRPr="001E1772">
        <w:rPr>
          <w:sz w:val="20"/>
          <w:szCs w:val="20"/>
        </w:rPr>
        <w:t xml:space="preserve">The NPA Park for All group </w:t>
      </w:r>
      <w:proofErr w:type="gramStart"/>
      <w:r w:rsidRPr="001E1772">
        <w:rPr>
          <w:sz w:val="20"/>
          <w:szCs w:val="20"/>
        </w:rPr>
        <w:t>review</w:t>
      </w:r>
      <w:proofErr w:type="gramEnd"/>
      <w:r w:rsidRPr="001E1772">
        <w:rPr>
          <w:sz w:val="20"/>
          <w:szCs w:val="20"/>
        </w:rPr>
        <w:t xml:space="preserve"> all </w:t>
      </w:r>
      <w:proofErr w:type="spellStart"/>
      <w:r w:rsidRPr="001E1772">
        <w:rPr>
          <w:sz w:val="20"/>
          <w:szCs w:val="20"/>
        </w:rPr>
        <w:t>EqIAs</w:t>
      </w:r>
      <w:proofErr w:type="spellEnd"/>
      <w:r w:rsidRPr="001E1772">
        <w:rPr>
          <w:sz w:val="20"/>
          <w:szCs w:val="20"/>
        </w:rPr>
        <w:t xml:space="preserve"> produced by our staff; we are a group of representatives from across the </w:t>
      </w:r>
      <w:proofErr w:type="spellStart"/>
      <w:r w:rsidRPr="001E1772">
        <w:rPr>
          <w:sz w:val="20"/>
          <w:szCs w:val="20"/>
        </w:rPr>
        <w:t>organisation</w:t>
      </w:r>
      <w:proofErr w:type="spellEnd"/>
      <w:r w:rsidRPr="001E1772">
        <w:rPr>
          <w:sz w:val="20"/>
          <w:szCs w:val="20"/>
        </w:rPr>
        <w:t xml:space="preserve"> who </w:t>
      </w:r>
      <w:r w:rsidRPr="001E1772">
        <w:rPr>
          <w:rFonts w:cs="Arial"/>
          <w:sz w:val="20"/>
          <w:szCs w:val="20"/>
        </w:rPr>
        <w:t xml:space="preserve">aim to inspire the </w:t>
      </w:r>
      <w:proofErr w:type="spellStart"/>
      <w:r w:rsidRPr="001E1772">
        <w:rPr>
          <w:rFonts w:cs="Arial"/>
          <w:sz w:val="20"/>
          <w:szCs w:val="20"/>
        </w:rPr>
        <w:t>organisation</w:t>
      </w:r>
      <w:proofErr w:type="spellEnd"/>
      <w:r w:rsidRPr="001E1772">
        <w:rPr>
          <w:rFonts w:cs="Arial"/>
          <w:sz w:val="20"/>
          <w:szCs w:val="20"/>
        </w:rPr>
        <w:t xml:space="preserve"> to deliver against our equality duties, constructively challenge prejudices, raise awareness of the economic and social benefits of inclusion and identify and facilitate actions that support equality and diversity. Our vision is to embed a culture of equality and diversity so that staff, communities, visitors and Board members regardless of ethnicity, beliefs, disability, social background, sex, marital status, age or sexual orientation </w:t>
      </w:r>
      <w:proofErr w:type="gramStart"/>
      <w:r w:rsidRPr="001E1772">
        <w:rPr>
          <w:rFonts w:cs="Arial"/>
          <w:sz w:val="20"/>
          <w:szCs w:val="20"/>
        </w:rPr>
        <w:t>have the opportunity to</w:t>
      </w:r>
      <w:proofErr w:type="gramEnd"/>
      <w:r w:rsidRPr="001E1772">
        <w:rPr>
          <w:rFonts w:cs="Arial"/>
          <w:sz w:val="20"/>
          <w:szCs w:val="20"/>
        </w:rPr>
        <w:t xml:space="preserve"> access the full range of services provided by the Park Authority and the opportunity to access the benefits of living, working or visiting our National Park.</w:t>
      </w:r>
    </w:p>
    <w:p w14:paraId="630B2DFA" w14:textId="77777777" w:rsidR="00460CEC" w:rsidRDefault="00BB5764" w:rsidP="00780180">
      <w:pPr>
        <w:pStyle w:val="Heading1"/>
        <w:numPr>
          <w:ilvl w:val="0"/>
          <w:numId w:val="17"/>
        </w:numPr>
        <w:rPr>
          <w:bCs/>
          <w:sz w:val="28"/>
        </w:rPr>
      </w:pPr>
      <w:r w:rsidRPr="007004D8">
        <w:rPr>
          <w:sz w:val="28"/>
        </w:rPr>
        <w:t>N</w:t>
      </w:r>
      <w:r w:rsidR="00AD4192" w:rsidRPr="007004D8">
        <w:rPr>
          <w:sz w:val="28"/>
        </w:rPr>
        <w:t xml:space="preserve">ame of </w:t>
      </w:r>
      <w:r w:rsidR="00344DCD" w:rsidRPr="007004D8">
        <w:rPr>
          <w:sz w:val="28"/>
        </w:rPr>
        <w:t>project/</w:t>
      </w:r>
      <w:r w:rsidR="00AD4192" w:rsidRPr="007004D8">
        <w:rPr>
          <w:sz w:val="28"/>
        </w:rPr>
        <w:t>policy</w:t>
      </w:r>
      <w:r w:rsidR="004D3114" w:rsidRPr="007004D8">
        <w:rPr>
          <w:sz w:val="28"/>
        </w:rPr>
        <w:t>:</w:t>
      </w:r>
      <w:r w:rsidR="00775DB8">
        <w:rPr>
          <w:sz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9953"/>
      </w:tblGrid>
      <w:tr w:rsidR="00AD4192" w:rsidRPr="00AD4192" w14:paraId="2DB4AF1A" w14:textId="77777777" w:rsidTr="00B75613">
        <w:tc>
          <w:tcPr>
            <w:tcW w:w="3962" w:type="dxa"/>
            <w:shd w:val="clear" w:color="auto" w:fill="FFFFFF"/>
          </w:tcPr>
          <w:p w14:paraId="3EEFB234" w14:textId="77777777" w:rsidR="00AD4192" w:rsidRPr="00B75613" w:rsidRDefault="00AD4192" w:rsidP="00DF6EE2">
            <w:pPr>
              <w:rPr>
                <w:b/>
              </w:rPr>
            </w:pPr>
            <w:r w:rsidRPr="00AD4192">
              <w:t>Lead officer</w:t>
            </w:r>
          </w:p>
        </w:tc>
        <w:tc>
          <w:tcPr>
            <w:tcW w:w="10129" w:type="dxa"/>
          </w:tcPr>
          <w:p w14:paraId="0C943B54" w14:textId="77777777" w:rsidR="00AD4192" w:rsidRPr="00AD4192" w:rsidRDefault="00BE6C42" w:rsidP="002A5CBA">
            <w:r>
              <w:t>Graeme Archibald</w:t>
            </w:r>
          </w:p>
        </w:tc>
      </w:tr>
      <w:tr w:rsidR="00BE6C42" w:rsidRPr="00AD4192" w14:paraId="193BEDCC" w14:textId="77777777" w:rsidTr="00B75613">
        <w:tc>
          <w:tcPr>
            <w:tcW w:w="3962" w:type="dxa"/>
            <w:shd w:val="clear" w:color="auto" w:fill="FFFFFF"/>
          </w:tcPr>
          <w:p w14:paraId="07AE4B05" w14:textId="77777777" w:rsidR="00BE6C42" w:rsidRPr="00B75613" w:rsidRDefault="00BE6C42" w:rsidP="00BE6C42">
            <w:pPr>
              <w:rPr>
                <w:b/>
              </w:rPr>
            </w:pPr>
            <w:r w:rsidRPr="00AD4192">
              <w:t>Others involved in the assessment</w:t>
            </w:r>
          </w:p>
        </w:tc>
        <w:tc>
          <w:tcPr>
            <w:tcW w:w="10129" w:type="dxa"/>
          </w:tcPr>
          <w:p w14:paraId="4480B8BC" w14:textId="62841207" w:rsidR="00BE6C42" w:rsidRPr="00AD4192" w:rsidRDefault="00BE6C42" w:rsidP="00BE6C42">
            <w:r>
              <w:t>Lei</w:t>
            </w:r>
            <w:r w:rsidR="005A6400">
              <w:t xml:space="preserve">gh Hamilton, </w:t>
            </w:r>
            <w:r w:rsidR="0063667B">
              <w:t>James Downie</w:t>
            </w:r>
            <w:r w:rsidR="00A148E5">
              <w:t>, Matt Buckland</w:t>
            </w:r>
          </w:p>
        </w:tc>
      </w:tr>
      <w:tr w:rsidR="00BE6C42" w:rsidRPr="00AD4192" w14:paraId="060A64AA" w14:textId="77777777" w:rsidTr="00B75613">
        <w:tc>
          <w:tcPr>
            <w:tcW w:w="3962" w:type="dxa"/>
            <w:shd w:val="clear" w:color="auto" w:fill="FFFFFF"/>
          </w:tcPr>
          <w:p w14:paraId="2B1E7B5C" w14:textId="77777777" w:rsidR="00BE6C42" w:rsidRPr="00B75613" w:rsidRDefault="00BE6C42" w:rsidP="00BE6C42">
            <w:pPr>
              <w:rPr>
                <w:b/>
              </w:rPr>
            </w:pPr>
            <w:r w:rsidRPr="00AD4192">
              <w:t>Date(s) of assessment</w:t>
            </w:r>
          </w:p>
        </w:tc>
        <w:tc>
          <w:tcPr>
            <w:tcW w:w="10129" w:type="dxa"/>
          </w:tcPr>
          <w:p w14:paraId="4B6F4081" w14:textId="5FF3C793" w:rsidR="00BE6C42" w:rsidRPr="00AD4192" w:rsidRDefault="00A148E5" w:rsidP="005A6400">
            <w:r>
              <w:t>19</w:t>
            </w:r>
            <w:r w:rsidRPr="00A148E5">
              <w:rPr>
                <w:vertAlign w:val="superscript"/>
              </w:rPr>
              <w:t>th</w:t>
            </w:r>
            <w:r>
              <w:t xml:space="preserve"> June 2024</w:t>
            </w:r>
          </w:p>
        </w:tc>
      </w:tr>
    </w:tbl>
    <w:p w14:paraId="57C49264" w14:textId="77777777" w:rsidR="00460CEC" w:rsidRDefault="00AD4192" w:rsidP="00780180">
      <w:pPr>
        <w:pStyle w:val="Heading2"/>
        <w:numPr>
          <w:ilvl w:val="0"/>
          <w:numId w:val="17"/>
        </w:numPr>
      </w:pPr>
      <w:r w:rsidRPr="00AD4192">
        <w:t xml:space="preserve">Description of </w:t>
      </w:r>
      <w:r w:rsidR="00183A47">
        <w:t xml:space="preserve">project/ </w:t>
      </w:r>
      <w:r w:rsidRPr="00AD4192">
        <w:t>policy</w:t>
      </w:r>
      <w:r w:rsidR="00E76EAC">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9952"/>
      </w:tblGrid>
      <w:tr w:rsidR="00AD4192" w:rsidRPr="00AD4192" w14:paraId="59B26034" w14:textId="77777777" w:rsidTr="0046730E">
        <w:tc>
          <w:tcPr>
            <w:tcW w:w="3961" w:type="dxa"/>
            <w:shd w:val="clear" w:color="auto" w:fill="FFFFFF"/>
          </w:tcPr>
          <w:p w14:paraId="2B30EEDB" w14:textId="77777777" w:rsidR="00AD4192" w:rsidRPr="00B75613" w:rsidRDefault="00DF6EE2" w:rsidP="00DF6EE2">
            <w:pPr>
              <w:rPr>
                <w:b/>
              </w:rPr>
            </w:pPr>
            <w:r>
              <w:t>Background</w:t>
            </w:r>
          </w:p>
        </w:tc>
        <w:tc>
          <w:tcPr>
            <w:tcW w:w="10130" w:type="dxa"/>
          </w:tcPr>
          <w:p w14:paraId="0F4809F3" w14:textId="77777777" w:rsidR="00AD4192" w:rsidRPr="00707605" w:rsidRDefault="00707605" w:rsidP="00707605">
            <w:pPr>
              <w:pStyle w:val="NoSpacing"/>
              <w:rPr>
                <w:rFonts w:ascii="Arial" w:hAnsi="Arial" w:cs="Arial"/>
                <w:sz w:val="22"/>
                <w:szCs w:val="22"/>
              </w:rPr>
            </w:pPr>
            <w:r w:rsidRPr="00707605">
              <w:rPr>
                <w:rFonts w:ascii="Arial" w:hAnsi="Arial" w:cs="Arial"/>
                <w:sz w:val="22"/>
                <w:szCs w:val="22"/>
              </w:rPr>
              <w:t xml:space="preserve">Visitor Management </w:t>
            </w:r>
            <w:r w:rsidR="00E94A04">
              <w:rPr>
                <w:rFonts w:ascii="Arial" w:hAnsi="Arial" w:cs="Arial"/>
                <w:sz w:val="22"/>
                <w:szCs w:val="22"/>
              </w:rPr>
              <w:t xml:space="preserve">Engagement &amp; </w:t>
            </w:r>
            <w:r w:rsidRPr="00707605">
              <w:rPr>
                <w:rFonts w:ascii="Arial" w:hAnsi="Arial" w:cs="Arial"/>
                <w:sz w:val="22"/>
                <w:szCs w:val="22"/>
              </w:rPr>
              <w:t>Enforcement Policy</w:t>
            </w:r>
          </w:p>
        </w:tc>
      </w:tr>
      <w:tr w:rsidR="00AD4192" w:rsidRPr="00AD4192" w14:paraId="005168EA" w14:textId="77777777" w:rsidTr="0046730E">
        <w:trPr>
          <w:trHeight w:val="1475"/>
        </w:trPr>
        <w:tc>
          <w:tcPr>
            <w:tcW w:w="3961" w:type="dxa"/>
            <w:shd w:val="clear" w:color="auto" w:fill="FFFFFF"/>
          </w:tcPr>
          <w:p w14:paraId="2B219C2F" w14:textId="77777777" w:rsidR="00AD4192" w:rsidRPr="00B75613" w:rsidRDefault="00DF6EE2" w:rsidP="00DF6EE2">
            <w:pPr>
              <w:rPr>
                <w:b/>
              </w:rPr>
            </w:pPr>
            <w:r>
              <w:lastRenderedPageBreak/>
              <w:t>Purpose and outcomes</w:t>
            </w:r>
          </w:p>
        </w:tc>
        <w:tc>
          <w:tcPr>
            <w:tcW w:w="10130" w:type="dxa"/>
          </w:tcPr>
          <w:p w14:paraId="74C04A79" w14:textId="77777777" w:rsidR="00E8793C" w:rsidRDefault="00707605" w:rsidP="00707605">
            <w:pPr>
              <w:pStyle w:val="NoSpacing"/>
              <w:spacing w:line="276" w:lineRule="auto"/>
              <w:rPr>
                <w:rFonts w:ascii="Arial" w:hAnsi="Arial" w:cs="Arial"/>
                <w:sz w:val="22"/>
                <w:szCs w:val="22"/>
              </w:rPr>
            </w:pPr>
            <w:r w:rsidRPr="004A527A">
              <w:rPr>
                <w:rFonts w:ascii="Arial" w:hAnsi="Arial" w:cs="Arial"/>
                <w:sz w:val="22"/>
                <w:szCs w:val="22"/>
              </w:rPr>
              <w:t>The policy sets out the principles and approach the NPA</w:t>
            </w:r>
            <w:r>
              <w:rPr>
                <w:rFonts w:ascii="Arial" w:hAnsi="Arial" w:cs="Arial"/>
                <w:sz w:val="22"/>
                <w:szCs w:val="22"/>
              </w:rPr>
              <w:t xml:space="preserve"> will follow to manage visitor behaviour by means of available legislative powers. </w:t>
            </w:r>
          </w:p>
          <w:p w14:paraId="0FF5FAB9" w14:textId="77777777" w:rsidR="00E8793C" w:rsidRDefault="00707605" w:rsidP="00707605">
            <w:pPr>
              <w:pStyle w:val="NoSpacing"/>
              <w:spacing w:line="276" w:lineRule="auto"/>
              <w:rPr>
                <w:rFonts w:ascii="Arial" w:hAnsi="Arial" w:cs="Arial"/>
                <w:sz w:val="22"/>
                <w:szCs w:val="22"/>
              </w:rPr>
            </w:pPr>
            <w:r>
              <w:rPr>
                <w:rFonts w:ascii="Arial" w:hAnsi="Arial" w:cs="Arial"/>
                <w:sz w:val="22"/>
                <w:szCs w:val="22"/>
              </w:rPr>
              <w:t xml:space="preserve">The </w:t>
            </w:r>
            <w:r w:rsidR="00E8793C">
              <w:rPr>
                <w:rFonts w:ascii="Arial" w:hAnsi="Arial" w:cs="Arial"/>
                <w:sz w:val="22"/>
                <w:szCs w:val="22"/>
              </w:rPr>
              <w:t>outcomes of this policy will be:</w:t>
            </w:r>
          </w:p>
          <w:p w14:paraId="6AA03AEF" w14:textId="77777777" w:rsidR="00E8793C" w:rsidRDefault="00E8793C" w:rsidP="00780180">
            <w:pPr>
              <w:pStyle w:val="NoSpacing"/>
              <w:numPr>
                <w:ilvl w:val="0"/>
                <w:numId w:val="23"/>
              </w:numPr>
              <w:spacing w:line="276" w:lineRule="auto"/>
              <w:rPr>
                <w:rFonts w:ascii="Arial" w:hAnsi="Arial" w:cs="Arial"/>
                <w:sz w:val="22"/>
                <w:szCs w:val="22"/>
              </w:rPr>
            </w:pPr>
            <w:r>
              <w:rPr>
                <w:rFonts w:ascii="Arial" w:hAnsi="Arial" w:cs="Arial"/>
                <w:sz w:val="22"/>
                <w:szCs w:val="22"/>
              </w:rPr>
              <w:t>staff being aware that their safety is paramount when engaging with the public,</w:t>
            </w:r>
          </w:p>
          <w:p w14:paraId="2001D7B7" w14:textId="77777777" w:rsidR="00E8793C" w:rsidRDefault="00E94A04" w:rsidP="00780180">
            <w:pPr>
              <w:pStyle w:val="NoSpacing"/>
              <w:numPr>
                <w:ilvl w:val="0"/>
                <w:numId w:val="23"/>
              </w:numPr>
              <w:spacing w:line="276" w:lineRule="auto"/>
              <w:rPr>
                <w:rFonts w:ascii="Arial" w:hAnsi="Arial" w:cs="Arial"/>
                <w:sz w:val="22"/>
                <w:szCs w:val="22"/>
              </w:rPr>
            </w:pPr>
            <w:r>
              <w:rPr>
                <w:rFonts w:ascii="Arial" w:hAnsi="Arial" w:cs="Arial"/>
                <w:sz w:val="22"/>
                <w:szCs w:val="22"/>
              </w:rPr>
              <w:t>a collective understanding that enforcement action is the last resort when all other options have failed to secure the required behaviour,</w:t>
            </w:r>
          </w:p>
          <w:p w14:paraId="01BD48BF" w14:textId="77777777" w:rsidR="00E8793C" w:rsidRDefault="00E8793C" w:rsidP="00780180">
            <w:pPr>
              <w:pStyle w:val="NoSpacing"/>
              <w:numPr>
                <w:ilvl w:val="0"/>
                <w:numId w:val="23"/>
              </w:numPr>
              <w:spacing w:line="276" w:lineRule="auto"/>
              <w:rPr>
                <w:rFonts w:ascii="Arial" w:hAnsi="Arial" w:cs="Arial"/>
                <w:sz w:val="22"/>
                <w:szCs w:val="22"/>
              </w:rPr>
            </w:pPr>
            <w:r>
              <w:rPr>
                <w:rFonts w:ascii="Arial" w:hAnsi="Arial" w:cs="Arial"/>
                <w:sz w:val="22"/>
                <w:szCs w:val="22"/>
              </w:rPr>
              <w:t>a consistent approach to engagement and enforcement</w:t>
            </w:r>
          </w:p>
          <w:p w14:paraId="559C82E1" w14:textId="77777777" w:rsidR="00E8793C" w:rsidRDefault="00707605" w:rsidP="00780180">
            <w:pPr>
              <w:pStyle w:val="NoSpacing"/>
              <w:numPr>
                <w:ilvl w:val="0"/>
                <w:numId w:val="23"/>
              </w:numPr>
              <w:spacing w:line="276" w:lineRule="auto"/>
              <w:rPr>
                <w:rFonts w:ascii="Arial" w:hAnsi="Arial" w:cs="Arial"/>
                <w:sz w:val="22"/>
                <w:szCs w:val="22"/>
              </w:rPr>
            </w:pPr>
            <w:r>
              <w:rPr>
                <w:rFonts w:ascii="Arial" w:hAnsi="Arial" w:cs="Arial"/>
                <w:sz w:val="22"/>
                <w:szCs w:val="22"/>
              </w:rPr>
              <w:t>transparency</w:t>
            </w:r>
            <w:r w:rsidR="00E8793C">
              <w:rPr>
                <w:rFonts w:ascii="Arial" w:hAnsi="Arial" w:cs="Arial"/>
                <w:sz w:val="22"/>
                <w:szCs w:val="22"/>
              </w:rPr>
              <w:t xml:space="preserve"> in all aspects of this work,</w:t>
            </w:r>
          </w:p>
          <w:p w14:paraId="7055D41E" w14:textId="77777777" w:rsidR="00E8793C" w:rsidRDefault="00E8793C" w:rsidP="00780180">
            <w:pPr>
              <w:pStyle w:val="NoSpacing"/>
              <w:numPr>
                <w:ilvl w:val="0"/>
                <w:numId w:val="23"/>
              </w:numPr>
              <w:spacing w:line="276" w:lineRule="auto"/>
              <w:rPr>
                <w:rFonts w:ascii="Arial" w:hAnsi="Arial" w:cs="Arial"/>
                <w:sz w:val="22"/>
                <w:szCs w:val="22"/>
              </w:rPr>
            </w:pPr>
            <w:r>
              <w:rPr>
                <w:rFonts w:ascii="Arial" w:hAnsi="Arial" w:cs="Arial"/>
                <w:sz w:val="22"/>
                <w:szCs w:val="22"/>
              </w:rPr>
              <w:t xml:space="preserve">an understanding by all staff that they </w:t>
            </w:r>
            <w:proofErr w:type="gramStart"/>
            <w:r>
              <w:rPr>
                <w:rFonts w:ascii="Arial" w:hAnsi="Arial" w:cs="Arial"/>
                <w:sz w:val="22"/>
                <w:szCs w:val="22"/>
              </w:rPr>
              <w:t>are accountable at all times</w:t>
            </w:r>
            <w:proofErr w:type="gramEnd"/>
            <w:r>
              <w:rPr>
                <w:rFonts w:ascii="Arial" w:hAnsi="Arial" w:cs="Arial"/>
                <w:sz w:val="22"/>
                <w:szCs w:val="22"/>
              </w:rPr>
              <w:t xml:space="preserve"> for their actions.</w:t>
            </w:r>
          </w:p>
          <w:p w14:paraId="27B786B3" w14:textId="77777777" w:rsidR="00707605" w:rsidRDefault="00E8793C" w:rsidP="00780180">
            <w:pPr>
              <w:pStyle w:val="NoSpacing"/>
              <w:numPr>
                <w:ilvl w:val="0"/>
                <w:numId w:val="23"/>
              </w:numPr>
              <w:spacing w:line="276" w:lineRule="auto"/>
              <w:rPr>
                <w:rFonts w:ascii="Arial" w:hAnsi="Arial" w:cs="Arial"/>
                <w:sz w:val="22"/>
                <w:szCs w:val="22"/>
              </w:rPr>
            </w:pPr>
            <w:r>
              <w:rPr>
                <w:rFonts w:ascii="Arial" w:hAnsi="Arial" w:cs="Arial"/>
                <w:sz w:val="22"/>
                <w:szCs w:val="22"/>
              </w:rPr>
              <w:t xml:space="preserve">a requirement for all staff to </w:t>
            </w:r>
            <w:proofErr w:type="gramStart"/>
            <w:r>
              <w:rPr>
                <w:rFonts w:ascii="Arial" w:hAnsi="Arial" w:cs="Arial"/>
                <w:sz w:val="22"/>
                <w:szCs w:val="22"/>
              </w:rPr>
              <w:t xml:space="preserve">conduct themselves in a </w:t>
            </w:r>
            <w:r w:rsidR="00707605">
              <w:rPr>
                <w:rFonts w:ascii="Arial" w:hAnsi="Arial" w:cs="Arial"/>
                <w:sz w:val="22"/>
                <w:szCs w:val="22"/>
              </w:rPr>
              <w:t>professional</w:t>
            </w:r>
            <w:r>
              <w:rPr>
                <w:rFonts w:ascii="Arial" w:hAnsi="Arial" w:cs="Arial"/>
                <w:sz w:val="22"/>
                <w:szCs w:val="22"/>
              </w:rPr>
              <w:t xml:space="preserve"> manner at all times</w:t>
            </w:r>
            <w:proofErr w:type="gramEnd"/>
            <w:r w:rsidR="00707605">
              <w:rPr>
                <w:rFonts w:ascii="Arial" w:hAnsi="Arial" w:cs="Arial"/>
                <w:sz w:val="22"/>
                <w:szCs w:val="22"/>
              </w:rPr>
              <w:t>.</w:t>
            </w:r>
          </w:p>
          <w:p w14:paraId="46B747FC" w14:textId="77777777" w:rsidR="00355E02" w:rsidRPr="00B10B4D" w:rsidRDefault="00355E02" w:rsidP="00707605">
            <w:pPr>
              <w:pStyle w:val="NoSpacing"/>
              <w:rPr>
                <w:rFonts w:ascii="Arial" w:hAnsi="Arial" w:cs="Arial"/>
                <w:sz w:val="22"/>
                <w:szCs w:val="22"/>
              </w:rPr>
            </w:pPr>
          </w:p>
        </w:tc>
      </w:tr>
      <w:tr w:rsidR="0046730E" w:rsidRPr="00AD4192" w14:paraId="620E34B8" w14:textId="77777777" w:rsidTr="0046730E">
        <w:tc>
          <w:tcPr>
            <w:tcW w:w="3961" w:type="dxa"/>
            <w:shd w:val="clear" w:color="auto" w:fill="FFFFFF"/>
          </w:tcPr>
          <w:p w14:paraId="4E328EBB" w14:textId="77777777" w:rsidR="0046730E" w:rsidRPr="00B75613" w:rsidRDefault="0046730E" w:rsidP="0046730E">
            <w:pPr>
              <w:rPr>
                <w:b/>
              </w:rPr>
            </w:pPr>
            <w:r>
              <w:t>How it links to NPPP/Corporate Plan/ Operational Plan</w:t>
            </w:r>
          </w:p>
        </w:tc>
        <w:tc>
          <w:tcPr>
            <w:tcW w:w="10130" w:type="dxa"/>
          </w:tcPr>
          <w:p w14:paraId="049A7ED8" w14:textId="1651D055" w:rsidR="0046730E" w:rsidRPr="00067E01" w:rsidRDefault="0046730E" w:rsidP="0046730E">
            <w:pPr>
              <w:tabs>
                <w:tab w:val="center" w:pos="4513"/>
                <w:tab w:val="right" w:pos="9026"/>
              </w:tabs>
              <w:rPr>
                <w:rFonts w:cs="Arial"/>
                <w:b/>
                <w:color w:val="000000"/>
                <w:u w:val="single"/>
              </w:rPr>
            </w:pPr>
            <w:r w:rsidRPr="00067E01">
              <w:rPr>
                <w:rFonts w:cs="Arial"/>
                <w:b/>
                <w:color w:val="000000"/>
                <w:u w:val="single"/>
              </w:rPr>
              <w:t>National Park Partnership Plan 20</w:t>
            </w:r>
            <w:r w:rsidR="00064BBB">
              <w:rPr>
                <w:rFonts w:cs="Arial"/>
                <w:b/>
                <w:color w:val="000000"/>
                <w:u w:val="single"/>
              </w:rPr>
              <w:t>24</w:t>
            </w:r>
            <w:r w:rsidRPr="00067E01">
              <w:rPr>
                <w:rFonts w:cs="Arial"/>
                <w:b/>
                <w:color w:val="000000"/>
                <w:u w:val="single"/>
              </w:rPr>
              <w:t xml:space="preserve"> -202</w:t>
            </w:r>
            <w:r w:rsidR="00064BBB">
              <w:rPr>
                <w:rFonts w:cs="Arial"/>
                <w:b/>
                <w:color w:val="000000"/>
                <w:u w:val="single"/>
              </w:rPr>
              <w:t>9</w:t>
            </w:r>
          </w:p>
          <w:p w14:paraId="5D5A8A2E" w14:textId="77777777" w:rsidR="0046730E" w:rsidRDefault="00695437" w:rsidP="0046730E">
            <w:pPr>
              <w:pStyle w:val="BodyText1"/>
            </w:pPr>
            <w:r>
              <w:rPr>
                <w:color w:val="000000"/>
              </w:rPr>
              <w:t>This policy</w:t>
            </w:r>
            <w:r w:rsidR="00D238A6">
              <w:t xml:space="preserve"> </w:t>
            </w:r>
            <w:r w:rsidR="00CD5315">
              <w:t xml:space="preserve">is </w:t>
            </w:r>
            <w:r w:rsidR="00D238A6">
              <w:t xml:space="preserve">aligned to the National Park Partnership Plan </w:t>
            </w:r>
            <w:r w:rsidR="00CD5315">
              <w:t>through</w:t>
            </w:r>
            <w:r w:rsidR="00D238A6">
              <w:t xml:space="preserve"> supporting safe, responsible access including a wide range of safe visitor experiences which are managed in a way which is compatible with nature and climate considerations and supporting thriving communities.</w:t>
            </w:r>
          </w:p>
          <w:p w14:paraId="79327620" w14:textId="77777777" w:rsidR="00D117C6" w:rsidRDefault="00D117C6" w:rsidP="0046730E">
            <w:pPr>
              <w:pStyle w:val="BodyText1"/>
            </w:pPr>
          </w:p>
          <w:p w14:paraId="06A4D13C" w14:textId="77777777" w:rsidR="00D117C6" w:rsidRDefault="00D117C6" w:rsidP="0046730E">
            <w:pPr>
              <w:pStyle w:val="BodyText1"/>
            </w:pPr>
          </w:p>
          <w:p w14:paraId="7EF694F8" w14:textId="77777777" w:rsidR="00D117C6" w:rsidRDefault="00D117C6" w:rsidP="0046730E">
            <w:pPr>
              <w:pStyle w:val="BodyText1"/>
            </w:pPr>
          </w:p>
          <w:p w14:paraId="47ECCA00" w14:textId="27068953" w:rsidR="00D117C6" w:rsidRPr="00D117C6" w:rsidRDefault="00D117C6" w:rsidP="0046730E">
            <w:pPr>
              <w:pStyle w:val="BodyText1"/>
              <w:rPr>
                <w:color w:val="000000"/>
              </w:rPr>
            </w:pPr>
          </w:p>
        </w:tc>
      </w:tr>
      <w:tr w:rsidR="0046730E" w:rsidRPr="00AD4192" w14:paraId="0DD54193" w14:textId="77777777" w:rsidTr="0046730E">
        <w:tc>
          <w:tcPr>
            <w:tcW w:w="3961" w:type="dxa"/>
            <w:shd w:val="clear" w:color="auto" w:fill="FFFFFF"/>
          </w:tcPr>
          <w:p w14:paraId="56096510" w14:textId="77777777" w:rsidR="0046730E" w:rsidRDefault="0046730E" w:rsidP="0046730E">
            <w:r>
              <w:lastRenderedPageBreak/>
              <w:t>How we intend to implement the project/policy</w:t>
            </w:r>
          </w:p>
        </w:tc>
        <w:tc>
          <w:tcPr>
            <w:tcW w:w="10130" w:type="dxa"/>
          </w:tcPr>
          <w:p w14:paraId="4176F812" w14:textId="77777777" w:rsidR="0046730E" w:rsidRDefault="0046730E" w:rsidP="0046730E">
            <w:pPr>
              <w:rPr>
                <w:rFonts w:cs="Arial"/>
                <w:szCs w:val="22"/>
              </w:rPr>
            </w:pPr>
            <w:r>
              <w:rPr>
                <w:rFonts w:cs="Arial"/>
                <w:szCs w:val="22"/>
              </w:rPr>
              <w:t xml:space="preserve">The policy will be developed through interdepartmental working to ensure that all considerations are </w:t>
            </w:r>
            <w:proofErr w:type="gramStart"/>
            <w:r>
              <w:rPr>
                <w:rFonts w:cs="Arial"/>
                <w:szCs w:val="22"/>
              </w:rPr>
              <w:t>taken into account</w:t>
            </w:r>
            <w:proofErr w:type="gramEnd"/>
            <w:r>
              <w:rPr>
                <w:rFonts w:cs="Arial"/>
                <w:szCs w:val="22"/>
              </w:rPr>
              <w:t>.</w:t>
            </w:r>
          </w:p>
          <w:p w14:paraId="0C179B8A" w14:textId="77777777" w:rsidR="0046730E" w:rsidRDefault="0046730E" w:rsidP="0046730E">
            <w:pPr>
              <w:rPr>
                <w:rFonts w:cs="Arial"/>
                <w:szCs w:val="22"/>
              </w:rPr>
            </w:pPr>
            <w:r>
              <w:rPr>
                <w:rFonts w:cs="Arial"/>
                <w:szCs w:val="22"/>
              </w:rPr>
              <w:t>The confirmed policy will be ci</w:t>
            </w:r>
            <w:r w:rsidRPr="004A527A">
              <w:rPr>
                <w:rFonts w:cs="Arial"/>
                <w:szCs w:val="22"/>
              </w:rPr>
              <w:t>rculate</w:t>
            </w:r>
            <w:r>
              <w:rPr>
                <w:rFonts w:cs="Arial"/>
                <w:szCs w:val="22"/>
              </w:rPr>
              <w:t>d</w:t>
            </w:r>
            <w:r w:rsidRPr="004A527A">
              <w:rPr>
                <w:rFonts w:cs="Arial"/>
                <w:szCs w:val="22"/>
              </w:rPr>
              <w:t xml:space="preserve"> via email with read and accept requirement for staff to acknowledge receipt and understanding. </w:t>
            </w:r>
            <w:r>
              <w:rPr>
                <w:rFonts w:cs="Arial"/>
                <w:szCs w:val="22"/>
              </w:rPr>
              <w:t xml:space="preserve"> Introduce to ranger service / authorized enforcement staff through training sessions / toolbox talks. The policy will be made public and will be accessible via the NP Website or on request. </w:t>
            </w:r>
          </w:p>
          <w:p w14:paraId="00B6BE2D" w14:textId="5D779A85" w:rsidR="0046730E" w:rsidRDefault="0046730E" w:rsidP="0046730E">
            <w:pPr>
              <w:rPr>
                <w:rFonts w:cs="Arial"/>
                <w:szCs w:val="22"/>
              </w:rPr>
            </w:pPr>
            <w:r w:rsidRPr="004A527A">
              <w:rPr>
                <w:rFonts w:cs="Arial"/>
                <w:szCs w:val="22"/>
              </w:rPr>
              <w:t>Refer</w:t>
            </w:r>
            <w:r w:rsidR="00CE602F">
              <w:rPr>
                <w:rFonts w:cs="Arial"/>
                <w:szCs w:val="22"/>
              </w:rPr>
              <w:t xml:space="preserve">ence will be </w:t>
            </w:r>
            <w:r w:rsidR="007B56B3">
              <w:rPr>
                <w:rFonts w:cs="Arial"/>
                <w:szCs w:val="22"/>
              </w:rPr>
              <w:t xml:space="preserve">made </w:t>
            </w:r>
            <w:r w:rsidRPr="004A527A">
              <w:rPr>
                <w:rFonts w:cs="Arial"/>
                <w:szCs w:val="22"/>
              </w:rPr>
              <w:t xml:space="preserve">to </w:t>
            </w:r>
            <w:r w:rsidR="007B56B3">
              <w:rPr>
                <w:rFonts w:cs="Arial"/>
                <w:szCs w:val="22"/>
              </w:rPr>
              <w:t>the policy</w:t>
            </w:r>
            <w:r w:rsidRPr="004A527A">
              <w:rPr>
                <w:rFonts w:cs="Arial"/>
                <w:szCs w:val="22"/>
              </w:rPr>
              <w:t xml:space="preserve"> within safe operating procedures and specific task risk assessments.</w:t>
            </w:r>
          </w:p>
          <w:p w14:paraId="7DAA6AEF" w14:textId="77777777" w:rsidR="0046730E" w:rsidRPr="00885BF3" w:rsidRDefault="0046730E" w:rsidP="0046730E">
            <w:pPr>
              <w:pStyle w:val="BodyText1"/>
            </w:pPr>
          </w:p>
        </w:tc>
      </w:tr>
    </w:tbl>
    <w:p w14:paraId="49414EE3" w14:textId="77777777" w:rsidR="00460CEC" w:rsidRDefault="00AD4192" w:rsidP="00780180">
      <w:pPr>
        <w:pStyle w:val="Heading2"/>
        <w:numPr>
          <w:ilvl w:val="0"/>
          <w:numId w:val="17"/>
        </w:numPr>
      </w:pPr>
      <w:r w:rsidRPr="00AD4192">
        <w:t xml:space="preserve">Who </w:t>
      </w:r>
      <w:r w:rsidR="00183A47" w:rsidRPr="00AD4192">
        <w:t xml:space="preserve">is </w:t>
      </w:r>
      <w:r w:rsidR="00183A47">
        <w:t xml:space="preserve">the project/ </w:t>
      </w:r>
      <w:r w:rsidRPr="00AD4192">
        <w:t>policy</w:t>
      </w:r>
      <w:r w:rsidR="00C9765F">
        <w:t xml:space="preserve"> </w:t>
      </w:r>
      <w:r w:rsidRPr="00AD4192">
        <w:t>likely to impact on and how</w:t>
      </w:r>
      <w:r w:rsidR="00E76EAC">
        <w:t>?</w:t>
      </w:r>
      <w:r w:rsidR="00BE23DF">
        <w:t xml:space="preserve"> If there is no significant impact proceed to Q.7</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9957"/>
      </w:tblGrid>
      <w:tr w:rsidR="00DF6EE2" w:rsidRPr="00AD4192" w14:paraId="17622F89" w14:textId="77777777" w:rsidTr="00B75613">
        <w:tc>
          <w:tcPr>
            <w:tcW w:w="3962" w:type="dxa"/>
            <w:shd w:val="clear" w:color="auto" w:fill="FFFFFF"/>
          </w:tcPr>
          <w:p w14:paraId="697C33ED" w14:textId="77777777" w:rsidR="00DF6EE2" w:rsidRDefault="00344DCD" w:rsidP="00607826">
            <w:r>
              <w:t>Does the project</w:t>
            </w:r>
            <w:r w:rsidR="00607826">
              <w:t>/</w:t>
            </w:r>
            <w:r>
              <w:t xml:space="preserve"> </w:t>
            </w:r>
            <w:r w:rsidR="00607826">
              <w:t xml:space="preserve">policy </w:t>
            </w:r>
            <w:r>
              <w:t xml:space="preserve">have the potential to impact on the equality </w:t>
            </w:r>
            <w:r w:rsidR="00BB5764">
              <w:t>groups?</w:t>
            </w:r>
            <w:r>
              <w:t xml:space="preserve"> Please provide a brief description</w:t>
            </w:r>
            <w:r w:rsidR="007D1ABC">
              <w:t xml:space="preserve"> including any evidence</w:t>
            </w:r>
            <w:r>
              <w:t xml:space="preserve">. </w:t>
            </w:r>
          </w:p>
        </w:tc>
        <w:tc>
          <w:tcPr>
            <w:tcW w:w="10129" w:type="dxa"/>
          </w:tcPr>
          <w:p w14:paraId="5CE106A7" w14:textId="53A0DA65" w:rsidR="00A749BF" w:rsidRDefault="00A749BF" w:rsidP="00535888">
            <w:pPr>
              <w:spacing w:after="0" w:line="240" w:lineRule="auto"/>
            </w:pPr>
            <w:r>
              <w:t xml:space="preserve">How the policy is interpreted and applied will fall to field staff who are unlikely to </w:t>
            </w:r>
            <w:r w:rsidR="0057786B">
              <w:t xml:space="preserve">be </w:t>
            </w:r>
            <w:r>
              <w:t xml:space="preserve">unduly </w:t>
            </w:r>
            <w:r w:rsidR="00885BF3">
              <w:t>a</w:t>
            </w:r>
            <w:r>
              <w:t>ffected by its content.</w:t>
            </w:r>
          </w:p>
          <w:p w14:paraId="3FC922AA" w14:textId="77777777" w:rsidR="00A749BF" w:rsidRDefault="00A749BF" w:rsidP="00535888">
            <w:pPr>
              <w:spacing w:after="0" w:line="240" w:lineRule="auto"/>
            </w:pPr>
          </w:p>
          <w:p w14:paraId="14BF331E" w14:textId="77777777" w:rsidR="00165DD9" w:rsidRDefault="00A749BF" w:rsidP="00885BF3">
            <w:pPr>
              <w:spacing w:after="0" w:line="240" w:lineRule="auto"/>
            </w:pPr>
            <w:r>
              <w:t>Members of the public who are allegedly contravening certain pieces of legislation will be subject to the principles contained within the policy</w:t>
            </w:r>
            <w:r w:rsidR="00885BF3">
              <w:t>. W</w:t>
            </w:r>
            <w:r>
              <w:t>hich if applied correctly</w:t>
            </w:r>
            <w:r w:rsidR="00885BF3">
              <w:t>,</w:t>
            </w:r>
            <w:r>
              <w:t xml:space="preserve"> should ensure that all the characteristics are </w:t>
            </w:r>
            <w:r w:rsidR="00885BF3">
              <w:t xml:space="preserve">dealt with in a consistent, transparent and professional manner with a high degree of accountability being expected of staff undertaking their duties.  </w:t>
            </w:r>
            <w:r>
              <w:t xml:space="preserve"> </w:t>
            </w:r>
          </w:p>
          <w:p w14:paraId="2243A01D" w14:textId="77777777" w:rsidR="00D117C6" w:rsidRPr="00D117C6" w:rsidRDefault="00D117C6" w:rsidP="00D117C6">
            <w:pPr>
              <w:pStyle w:val="BodyText1"/>
            </w:pPr>
          </w:p>
        </w:tc>
      </w:tr>
    </w:tbl>
    <w:p w14:paraId="2CC65AAF" w14:textId="77777777" w:rsidR="00460CEC" w:rsidRDefault="00AD4192" w:rsidP="00780180">
      <w:pPr>
        <w:pStyle w:val="Heading2"/>
        <w:numPr>
          <w:ilvl w:val="0"/>
          <w:numId w:val="17"/>
        </w:numPr>
      </w:pPr>
      <w:r w:rsidRPr="00AD4192">
        <w:lastRenderedPageBreak/>
        <w:t xml:space="preserve">Think about the impact the </w:t>
      </w:r>
      <w:r w:rsidR="00183A47">
        <w:t xml:space="preserve">project/ </w:t>
      </w:r>
      <w:r w:rsidRPr="00AD4192">
        <w:t>policy will have on eliminating discrimination, promoting equality of opportunity and fostering good relations between different groups. Also consider whether there is potential for discrimination.</w:t>
      </w:r>
      <w:r w:rsidR="00141D79">
        <w:t xml:space="preserve"> Refer to Scottish census data here </w:t>
      </w:r>
      <w:hyperlink r:id="rId14" w:history="1">
        <w:r w:rsidR="00141D79" w:rsidRPr="009221E2">
          <w:rPr>
            <w:rStyle w:val="Hyperlink"/>
          </w:rPr>
          <w:t>https://www.scotlandscensus.gov.uk/ods-web/home.html</w:t>
        </w:r>
      </w:hyperlink>
      <w:r w:rsidR="00141D79">
        <w:t xml:space="preserve"> while completing this section.</w:t>
      </w:r>
      <w:r w:rsidR="00D46B2A">
        <w:t xml:space="preserve"> Current relevant information relating to the census is included below, when assessing the potential impact</w:t>
      </w:r>
      <w:r w:rsidR="00F934AE">
        <w:t>,</w:t>
      </w:r>
      <w:r w:rsidR="00D46B2A">
        <w:t xml:space="preserve"> </w:t>
      </w:r>
      <w:r w:rsidR="00F934AE">
        <w:t>actions should be relative to the census information.</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60"/>
        <w:gridCol w:w="3780"/>
        <w:gridCol w:w="3780"/>
        <w:gridCol w:w="3780"/>
      </w:tblGrid>
      <w:tr w:rsidR="00347039" w:rsidRPr="008D0410" w14:paraId="5975273E" w14:textId="77777777">
        <w:trPr>
          <w:trHeight w:val="1422"/>
        </w:trPr>
        <w:tc>
          <w:tcPr>
            <w:tcW w:w="2660" w:type="dxa"/>
            <w:shd w:val="clear" w:color="auto" w:fill="FFFFFF"/>
          </w:tcPr>
          <w:p w14:paraId="5091C317" w14:textId="77777777" w:rsidR="00347039" w:rsidRPr="008D0410" w:rsidRDefault="00347039" w:rsidP="00B75613">
            <w:pPr>
              <w:pStyle w:val="n"/>
              <w:numPr>
                <w:ilvl w:val="0"/>
                <w:numId w:val="0"/>
              </w:numPr>
              <w:rPr>
                <w:rFonts w:cs="Arial"/>
                <w:b/>
                <w:sz w:val="22"/>
                <w:szCs w:val="22"/>
              </w:rPr>
            </w:pPr>
            <w:r w:rsidRPr="008D0410">
              <w:rPr>
                <w:rFonts w:cs="Arial"/>
                <w:b/>
                <w:sz w:val="22"/>
                <w:szCs w:val="22"/>
              </w:rPr>
              <w:t>Protected characteristic</w:t>
            </w:r>
          </w:p>
        </w:tc>
        <w:tc>
          <w:tcPr>
            <w:tcW w:w="3780" w:type="dxa"/>
            <w:shd w:val="clear" w:color="auto" w:fill="FFFFFF"/>
          </w:tcPr>
          <w:p w14:paraId="02F62931" w14:textId="77777777" w:rsidR="00347039" w:rsidRPr="008D0410" w:rsidRDefault="00347039" w:rsidP="00B75613">
            <w:pPr>
              <w:pStyle w:val="n"/>
              <w:numPr>
                <w:ilvl w:val="0"/>
                <w:numId w:val="0"/>
              </w:numPr>
              <w:jc w:val="left"/>
              <w:rPr>
                <w:rFonts w:cs="Arial"/>
                <w:b/>
                <w:sz w:val="22"/>
                <w:szCs w:val="22"/>
              </w:rPr>
            </w:pPr>
            <w:r w:rsidRPr="008D0410">
              <w:rPr>
                <w:rFonts w:cs="Arial"/>
                <w:b/>
                <w:sz w:val="22"/>
                <w:szCs w:val="22"/>
              </w:rPr>
              <w:t xml:space="preserve">What do we know about this group in the context of this </w:t>
            </w:r>
            <w:r w:rsidR="00EF4CAC" w:rsidRPr="008D0410">
              <w:rPr>
                <w:rFonts w:cs="Arial"/>
                <w:b/>
                <w:sz w:val="22"/>
                <w:szCs w:val="22"/>
              </w:rPr>
              <w:t xml:space="preserve">project/ </w:t>
            </w:r>
            <w:r w:rsidRPr="008D0410">
              <w:rPr>
                <w:rFonts w:cs="Arial"/>
                <w:b/>
                <w:sz w:val="22"/>
                <w:szCs w:val="22"/>
              </w:rPr>
              <w:t>policy?</w:t>
            </w:r>
          </w:p>
          <w:p w14:paraId="3896FC7E" w14:textId="77777777" w:rsidR="00347039" w:rsidRPr="008D0410" w:rsidRDefault="00000000" w:rsidP="00B75613">
            <w:pPr>
              <w:pStyle w:val="n"/>
              <w:numPr>
                <w:ilvl w:val="0"/>
                <w:numId w:val="0"/>
              </w:numPr>
              <w:jc w:val="left"/>
              <w:rPr>
                <w:rFonts w:cs="Arial"/>
                <w:sz w:val="22"/>
                <w:szCs w:val="22"/>
              </w:rPr>
            </w:pPr>
            <w:hyperlink r:id="rId15" w:history="1">
              <w:r w:rsidR="00E27803" w:rsidRPr="008D0410">
                <w:rPr>
                  <w:rStyle w:val="Hyperlink"/>
                  <w:rFonts w:cs="Arial"/>
                  <w:sz w:val="22"/>
                  <w:szCs w:val="22"/>
                </w:rPr>
                <w:t>Evidence and EqIA</w:t>
              </w:r>
            </w:hyperlink>
            <w:r w:rsidR="00E27803" w:rsidRPr="008D0410">
              <w:rPr>
                <w:rFonts w:cs="Arial"/>
                <w:sz w:val="22"/>
                <w:szCs w:val="22"/>
              </w:rPr>
              <w:t xml:space="preserve"> &amp; </w:t>
            </w:r>
            <w:hyperlink r:id="rId16" w:history="1">
              <w:r w:rsidR="004A331E" w:rsidRPr="008D0410">
                <w:rPr>
                  <w:rStyle w:val="Hyperlink"/>
                  <w:sz w:val="22"/>
                  <w:szCs w:val="22"/>
                </w:rPr>
                <w:t>http://www.scotland.gov.uk/Topics/People/Equality/Equalities/DataGrid</w:t>
              </w:r>
            </w:hyperlink>
            <w:r w:rsidR="004A331E" w:rsidRPr="008D0410">
              <w:rPr>
                <w:sz w:val="22"/>
                <w:szCs w:val="22"/>
              </w:rPr>
              <w:t xml:space="preserve"> </w:t>
            </w:r>
          </w:p>
        </w:tc>
        <w:tc>
          <w:tcPr>
            <w:tcW w:w="3780" w:type="dxa"/>
            <w:shd w:val="clear" w:color="auto" w:fill="FFFFFF"/>
          </w:tcPr>
          <w:p w14:paraId="13613064" w14:textId="77777777" w:rsidR="00347039" w:rsidRPr="008D0410" w:rsidRDefault="000C2860" w:rsidP="00B75613">
            <w:pPr>
              <w:pStyle w:val="n"/>
              <w:numPr>
                <w:ilvl w:val="0"/>
                <w:numId w:val="0"/>
              </w:numPr>
              <w:jc w:val="left"/>
              <w:rPr>
                <w:rFonts w:cs="Arial"/>
                <w:b/>
                <w:sz w:val="22"/>
                <w:szCs w:val="22"/>
              </w:rPr>
            </w:pPr>
            <w:r w:rsidRPr="008D0410">
              <w:rPr>
                <w:rFonts w:cs="Arial"/>
                <w:b/>
                <w:sz w:val="22"/>
                <w:szCs w:val="22"/>
              </w:rPr>
              <w:t>What is the p</w:t>
            </w:r>
            <w:r w:rsidR="00347039" w:rsidRPr="008D0410">
              <w:rPr>
                <w:rFonts w:cs="Arial"/>
                <w:b/>
                <w:sz w:val="22"/>
                <w:szCs w:val="22"/>
              </w:rPr>
              <w:t>otential impact (positive</w:t>
            </w:r>
            <w:r w:rsidRPr="008D0410">
              <w:rPr>
                <w:rFonts w:cs="Arial"/>
                <w:b/>
                <w:sz w:val="22"/>
                <w:szCs w:val="22"/>
              </w:rPr>
              <w:t>, neutral</w:t>
            </w:r>
            <w:r w:rsidR="00347039" w:rsidRPr="008D0410">
              <w:rPr>
                <w:rFonts w:cs="Arial"/>
                <w:b/>
                <w:sz w:val="22"/>
                <w:szCs w:val="22"/>
              </w:rPr>
              <w:t xml:space="preserve"> and negative) on people who share the characteristic?     </w:t>
            </w:r>
          </w:p>
        </w:tc>
        <w:tc>
          <w:tcPr>
            <w:tcW w:w="3780" w:type="dxa"/>
            <w:shd w:val="clear" w:color="auto" w:fill="FFFFFF"/>
          </w:tcPr>
          <w:p w14:paraId="128A22CE" w14:textId="77777777" w:rsidR="00347039" w:rsidRPr="008D0410" w:rsidRDefault="00347039" w:rsidP="00B75613">
            <w:pPr>
              <w:pStyle w:val="n"/>
              <w:numPr>
                <w:ilvl w:val="0"/>
                <w:numId w:val="0"/>
              </w:numPr>
              <w:jc w:val="left"/>
              <w:rPr>
                <w:rFonts w:cs="Arial"/>
                <w:b/>
                <w:sz w:val="22"/>
                <w:szCs w:val="22"/>
              </w:rPr>
            </w:pPr>
            <w:r w:rsidRPr="008D0410">
              <w:rPr>
                <w:rFonts w:cs="Arial"/>
                <w:b/>
                <w:sz w:val="22"/>
                <w:szCs w:val="22"/>
              </w:rPr>
              <w:t>What could we do to reduce any negative impacts, maximise positive impacts?</w:t>
            </w:r>
          </w:p>
          <w:p w14:paraId="5865EE55" w14:textId="77777777" w:rsidR="00640312" w:rsidRPr="008D0410" w:rsidRDefault="00640312" w:rsidP="00B75613">
            <w:pPr>
              <w:pStyle w:val="n"/>
              <w:numPr>
                <w:ilvl w:val="0"/>
                <w:numId w:val="0"/>
              </w:numPr>
              <w:jc w:val="left"/>
              <w:rPr>
                <w:rFonts w:cs="Arial"/>
                <w:b/>
                <w:sz w:val="22"/>
                <w:szCs w:val="22"/>
              </w:rPr>
            </w:pPr>
            <w:r w:rsidRPr="008D0410">
              <w:rPr>
                <w:rFonts w:cs="Arial"/>
                <w:b/>
                <w:sz w:val="22"/>
                <w:szCs w:val="22"/>
              </w:rPr>
              <w:t>What further evidence should we collect?</w:t>
            </w:r>
          </w:p>
        </w:tc>
      </w:tr>
      <w:tr w:rsidR="00EE6A56" w:rsidRPr="00347039" w14:paraId="35CFE991" w14:textId="77777777">
        <w:tc>
          <w:tcPr>
            <w:tcW w:w="2660" w:type="dxa"/>
            <w:shd w:val="clear" w:color="auto" w:fill="FFFFFF"/>
          </w:tcPr>
          <w:p w14:paraId="7E6F52BB" w14:textId="77777777" w:rsidR="00EE6A56" w:rsidRPr="008D0410" w:rsidRDefault="00EE6A56" w:rsidP="00EE6A56">
            <w:pPr>
              <w:pStyle w:val="n"/>
              <w:numPr>
                <w:ilvl w:val="0"/>
                <w:numId w:val="0"/>
              </w:numPr>
              <w:spacing w:before="0"/>
              <w:rPr>
                <w:rFonts w:cs="Arial"/>
                <w:b/>
                <w:sz w:val="22"/>
                <w:szCs w:val="22"/>
              </w:rPr>
            </w:pPr>
            <w:r w:rsidRPr="008D0410">
              <w:rPr>
                <w:rFonts w:cs="Arial"/>
                <w:b/>
                <w:sz w:val="22"/>
                <w:szCs w:val="22"/>
              </w:rPr>
              <w:t xml:space="preserve">Age </w:t>
            </w:r>
          </w:p>
        </w:tc>
        <w:tc>
          <w:tcPr>
            <w:tcW w:w="3780" w:type="dxa"/>
            <w:shd w:val="clear" w:color="auto" w:fill="FFFFFF"/>
          </w:tcPr>
          <w:p w14:paraId="0FC5CEA4" w14:textId="77777777" w:rsidR="00417D7C" w:rsidRPr="00EE6A56" w:rsidRDefault="00417D7C" w:rsidP="00417D7C">
            <w:pPr>
              <w:pStyle w:val="BodyText1"/>
              <w:spacing w:after="0" w:line="240" w:lineRule="auto"/>
              <w:rPr>
                <w:szCs w:val="22"/>
                <w:lang w:val="en-GB"/>
              </w:rPr>
            </w:pPr>
            <w:r w:rsidRPr="00EE6A56">
              <w:rPr>
                <w:szCs w:val="22"/>
                <w:lang w:val="en-GB"/>
              </w:rPr>
              <w:t>From the 20</w:t>
            </w:r>
            <w:r>
              <w:rPr>
                <w:szCs w:val="22"/>
                <w:lang w:val="en-GB"/>
              </w:rPr>
              <w:t>22</w:t>
            </w:r>
            <w:r w:rsidRPr="00EE6A56">
              <w:rPr>
                <w:szCs w:val="22"/>
                <w:lang w:val="en-GB"/>
              </w:rPr>
              <w:t xml:space="preserve"> Census data the Scottish population was</w:t>
            </w:r>
            <w:r>
              <w:rPr>
                <w:szCs w:val="22"/>
                <w:lang w:val="en-GB"/>
              </w:rPr>
              <w:t xml:space="preserve"> by age</w:t>
            </w:r>
            <w:r w:rsidRPr="00EE6A56">
              <w:rPr>
                <w:szCs w:val="22"/>
                <w:lang w:val="en-GB"/>
              </w:rPr>
              <w:t>:</w:t>
            </w:r>
          </w:p>
          <w:p w14:paraId="3295230D" w14:textId="77777777" w:rsidR="00417D7C" w:rsidRPr="00EE6A56" w:rsidRDefault="00417D7C" w:rsidP="00780180">
            <w:pPr>
              <w:pStyle w:val="BodyText1"/>
              <w:numPr>
                <w:ilvl w:val="0"/>
                <w:numId w:val="18"/>
              </w:numPr>
              <w:spacing w:after="0" w:line="240" w:lineRule="auto"/>
              <w:rPr>
                <w:szCs w:val="22"/>
                <w:lang w:val="en-GB"/>
              </w:rPr>
            </w:pPr>
            <w:r w:rsidRPr="00EE6A56">
              <w:rPr>
                <w:szCs w:val="22"/>
                <w:lang w:val="en-GB"/>
              </w:rPr>
              <w:t>0–</w:t>
            </w:r>
            <w:r>
              <w:rPr>
                <w:szCs w:val="22"/>
                <w:lang w:val="en-GB"/>
              </w:rPr>
              <w:t>9</w:t>
            </w:r>
            <w:r w:rsidRPr="00EE6A56">
              <w:rPr>
                <w:szCs w:val="22"/>
                <w:lang w:val="en-GB"/>
              </w:rPr>
              <w:t>:</w:t>
            </w:r>
            <w:r>
              <w:rPr>
                <w:szCs w:val="22"/>
                <w:lang w:val="en-GB"/>
              </w:rPr>
              <w:t xml:space="preserve">     10</w:t>
            </w:r>
            <w:r w:rsidRPr="00EE6A56">
              <w:rPr>
                <w:szCs w:val="22"/>
                <w:lang w:val="en-GB"/>
              </w:rPr>
              <w:t>%</w:t>
            </w:r>
          </w:p>
          <w:p w14:paraId="1E6E696A" w14:textId="77777777" w:rsidR="00417D7C" w:rsidRPr="00EE6A56" w:rsidRDefault="00417D7C" w:rsidP="00780180">
            <w:pPr>
              <w:pStyle w:val="BodyText1"/>
              <w:numPr>
                <w:ilvl w:val="0"/>
                <w:numId w:val="18"/>
              </w:numPr>
              <w:spacing w:after="0" w:line="240" w:lineRule="auto"/>
              <w:rPr>
                <w:szCs w:val="22"/>
                <w:lang w:val="en-GB"/>
              </w:rPr>
            </w:pPr>
            <w:r w:rsidRPr="00EE6A56">
              <w:rPr>
                <w:szCs w:val="22"/>
                <w:lang w:val="en-GB"/>
              </w:rPr>
              <w:t>1</w:t>
            </w:r>
            <w:r>
              <w:rPr>
                <w:szCs w:val="22"/>
                <w:lang w:val="en-GB"/>
              </w:rPr>
              <w:t>0</w:t>
            </w:r>
            <w:r w:rsidRPr="00EE6A56">
              <w:rPr>
                <w:szCs w:val="22"/>
                <w:lang w:val="en-GB"/>
              </w:rPr>
              <w:t>–</w:t>
            </w:r>
            <w:r>
              <w:rPr>
                <w:szCs w:val="22"/>
                <w:lang w:val="en-GB"/>
              </w:rPr>
              <w:t>19</w:t>
            </w:r>
            <w:r w:rsidRPr="00EE6A56">
              <w:rPr>
                <w:szCs w:val="22"/>
                <w:lang w:val="en-GB"/>
              </w:rPr>
              <w:t xml:space="preserve">: </w:t>
            </w:r>
            <w:r>
              <w:rPr>
                <w:szCs w:val="22"/>
                <w:lang w:val="en-GB"/>
              </w:rPr>
              <w:t>11</w:t>
            </w:r>
            <w:r w:rsidRPr="00EE6A56">
              <w:rPr>
                <w:szCs w:val="22"/>
                <w:lang w:val="en-GB"/>
              </w:rPr>
              <w:t>%</w:t>
            </w:r>
          </w:p>
          <w:p w14:paraId="0CCECA1F" w14:textId="77777777" w:rsidR="00417D7C" w:rsidRPr="00EE6A56" w:rsidRDefault="00417D7C" w:rsidP="00780180">
            <w:pPr>
              <w:pStyle w:val="BodyText1"/>
              <w:numPr>
                <w:ilvl w:val="0"/>
                <w:numId w:val="18"/>
              </w:numPr>
              <w:spacing w:after="0" w:line="240" w:lineRule="auto"/>
              <w:rPr>
                <w:szCs w:val="22"/>
                <w:lang w:val="en-GB"/>
              </w:rPr>
            </w:pPr>
            <w:r w:rsidRPr="00EE6A56">
              <w:rPr>
                <w:szCs w:val="22"/>
                <w:lang w:val="en-GB"/>
              </w:rPr>
              <w:t>2</w:t>
            </w:r>
            <w:r>
              <w:rPr>
                <w:szCs w:val="22"/>
                <w:lang w:val="en-GB"/>
              </w:rPr>
              <w:t>0</w:t>
            </w:r>
            <w:r w:rsidRPr="00EE6A56">
              <w:rPr>
                <w:szCs w:val="22"/>
                <w:lang w:val="en-GB"/>
              </w:rPr>
              <w:t>–</w:t>
            </w:r>
            <w:r>
              <w:rPr>
                <w:szCs w:val="22"/>
                <w:lang w:val="en-GB"/>
              </w:rPr>
              <w:t>29</w:t>
            </w:r>
            <w:r w:rsidRPr="00EE6A56">
              <w:rPr>
                <w:szCs w:val="22"/>
                <w:lang w:val="en-GB"/>
              </w:rPr>
              <w:t xml:space="preserve">: </w:t>
            </w:r>
            <w:r>
              <w:rPr>
                <w:szCs w:val="22"/>
                <w:lang w:val="en-GB"/>
              </w:rPr>
              <w:t>12</w:t>
            </w:r>
            <w:r w:rsidRPr="00EE6A56">
              <w:rPr>
                <w:szCs w:val="22"/>
                <w:lang w:val="en-GB"/>
              </w:rPr>
              <w:t>%</w:t>
            </w:r>
          </w:p>
          <w:p w14:paraId="742CCD18" w14:textId="77777777" w:rsidR="00417D7C" w:rsidRDefault="00417D7C" w:rsidP="00780180">
            <w:pPr>
              <w:pStyle w:val="BodyText1"/>
              <w:numPr>
                <w:ilvl w:val="0"/>
                <w:numId w:val="18"/>
              </w:numPr>
              <w:spacing w:after="0" w:line="240" w:lineRule="auto"/>
              <w:rPr>
                <w:szCs w:val="22"/>
                <w:lang w:val="en-GB"/>
              </w:rPr>
            </w:pPr>
            <w:r>
              <w:rPr>
                <w:szCs w:val="22"/>
                <w:lang w:val="en-GB"/>
              </w:rPr>
              <w:t>30–39: 13%</w:t>
            </w:r>
          </w:p>
          <w:p w14:paraId="75C4F6A5" w14:textId="77777777" w:rsidR="00417D7C" w:rsidRDefault="00417D7C" w:rsidP="00780180">
            <w:pPr>
              <w:pStyle w:val="BodyText1"/>
              <w:numPr>
                <w:ilvl w:val="0"/>
                <w:numId w:val="18"/>
              </w:numPr>
              <w:spacing w:after="0" w:line="240" w:lineRule="auto"/>
              <w:rPr>
                <w:szCs w:val="22"/>
                <w:lang w:val="en-GB"/>
              </w:rPr>
            </w:pPr>
            <w:r>
              <w:rPr>
                <w:szCs w:val="22"/>
                <w:lang w:val="en-GB"/>
              </w:rPr>
              <w:t>40-49: 12%</w:t>
            </w:r>
          </w:p>
          <w:p w14:paraId="20370B8F" w14:textId="77777777" w:rsidR="00417D7C" w:rsidRDefault="00417D7C" w:rsidP="00780180">
            <w:pPr>
              <w:pStyle w:val="BodyText1"/>
              <w:numPr>
                <w:ilvl w:val="0"/>
                <w:numId w:val="18"/>
              </w:numPr>
              <w:spacing w:after="0" w:line="240" w:lineRule="auto"/>
              <w:rPr>
                <w:szCs w:val="22"/>
                <w:lang w:val="en-GB"/>
              </w:rPr>
            </w:pPr>
            <w:r>
              <w:rPr>
                <w:szCs w:val="22"/>
                <w:lang w:val="en-GB"/>
              </w:rPr>
              <w:t>50-59: 15%</w:t>
            </w:r>
          </w:p>
          <w:p w14:paraId="7AC32AE9" w14:textId="77777777" w:rsidR="00417D7C" w:rsidRDefault="00417D7C" w:rsidP="00780180">
            <w:pPr>
              <w:pStyle w:val="BodyText1"/>
              <w:numPr>
                <w:ilvl w:val="0"/>
                <w:numId w:val="18"/>
              </w:numPr>
              <w:spacing w:after="0" w:line="240" w:lineRule="auto"/>
              <w:rPr>
                <w:szCs w:val="22"/>
                <w:lang w:val="en-GB"/>
              </w:rPr>
            </w:pPr>
            <w:r>
              <w:rPr>
                <w:szCs w:val="22"/>
                <w:lang w:val="en-GB"/>
              </w:rPr>
              <w:t>60-69: 13%</w:t>
            </w:r>
          </w:p>
          <w:p w14:paraId="2C52352A" w14:textId="77777777" w:rsidR="00417D7C" w:rsidRDefault="00417D7C" w:rsidP="00780180">
            <w:pPr>
              <w:pStyle w:val="BodyText1"/>
              <w:numPr>
                <w:ilvl w:val="0"/>
                <w:numId w:val="18"/>
              </w:numPr>
              <w:spacing w:after="0" w:line="240" w:lineRule="auto"/>
              <w:rPr>
                <w:szCs w:val="22"/>
                <w:lang w:val="en-GB"/>
              </w:rPr>
            </w:pPr>
            <w:r>
              <w:rPr>
                <w:szCs w:val="22"/>
                <w:lang w:val="en-GB"/>
              </w:rPr>
              <w:t>70-79: 9%</w:t>
            </w:r>
          </w:p>
          <w:p w14:paraId="68CE644C" w14:textId="77777777" w:rsidR="00417D7C" w:rsidRDefault="00417D7C" w:rsidP="00780180">
            <w:pPr>
              <w:pStyle w:val="BodyText1"/>
              <w:numPr>
                <w:ilvl w:val="0"/>
                <w:numId w:val="18"/>
              </w:numPr>
              <w:spacing w:after="0" w:line="240" w:lineRule="auto"/>
              <w:rPr>
                <w:szCs w:val="22"/>
                <w:lang w:val="en-GB"/>
              </w:rPr>
            </w:pPr>
            <w:r>
              <w:rPr>
                <w:szCs w:val="22"/>
                <w:lang w:val="en-GB"/>
              </w:rPr>
              <w:t>80-89: 4%</w:t>
            </w:r>
          </w:p>
          <w:p w14:paraId="50EAA1DB" w14:textId="77777777" w:rsidR="00417D7C" w:rsidRDefault="00417D7C" w:rsidP="00780180">
            <w:pPr>
              <w:pStyle w:val="BodyText1"/>
              <w:numPr>
                <w:ilvl w:val="0"/>
                <w:numId w:val="18"/>
              </w:numPr>
              <w:spacing w:after="0" w:line="240" w:lineRule="auto"/>
              <w:rPr>
                <w:szCs w:val="22"/>
                <w:lang w:val="en-GB"/>
              </w:rPr>
            </w:pPr>
            <w:r w:rsidRPr="00EE6A56">
              <w:rPr>
                <w:szCs w:val="22"/>
                <w:lang w:val="en-GB"/>
              </w:rPr>
              <w:t xml:space="preserve">Over </w:t>
            </w:r>
            <w:r>
              <w:rPr>
                <w:szCs w:val="22"/>
                <w:lang w:val="en-GB"/>
              </w:rPr>
              <w:t>90</w:t>
            </w:r>
            <w:r w:rsidRPr="00EE6A56">
              <w:rPr>
                <w:szCs w:val="22"/>
                <w:lang w:val="en-GB"/>
              </w:rPr>
              <w:t>: 1%</w:t>
            </w:r>
          </w:p>
          <w:p w14:paraId="6AABFFD9" w14:textId="337A92C5" w:rsidR="002F5083" w:rsidRPr="005159F8" w:rsidRDefault="00D475AD" w:rsidP="005159F8">
            <w:pPr>
              <w:pStyle w:val="BodyText1"/>
              <w:rPr>
                <w:color w:val="000000"/>
                <w:szCs w:val="22"/>
              </w:rPr>
            </w:pPr>
            <w:r w:rsidRPr="009C5E63">
              <w:rPr>
                <w:color w:val="000000"/>
                <w:szCs w:val="22"/>
                <w:lang w:val="en-GB"/>
              </w:rPr>
              <w:lastRenderedPageBreak/>
              <w:t>Digital Communication Related to Age - A recent survey found that age has the biggest impact on whether people are online. Digital engagement decreases as age rises, with the over 70s particularly less likely to engage digitally (Lloyds Bank, May 2020). 100 percent of young people aged 16-24 use the internet (Scottish Government 2019).</w:t>
            </w:r>
          </w:p>
          <w:p w14:paraId="3548651F" w14:textId="77777777" w:rsidR="002F5083" w:rsidRDefault="002F5083" w:rsidP="000C4205">
            <w:pPr>
              <w:pStyle w:val="BodyText1"/>
              <w:spacing w:after="0" w:line="240" w:lineRule="auto"/>
              <w:rPr>
                <w:szCs w:val="22"/>
                <w:lang w:val="en-GB"/>
              </w:rPr>
            </w:pPr>
          </w:p>
          <w:p w14:paraId="44758741" w14:textId="1D3C0740" w:rsidR="000C4205" w:rsidRDefault="000C4205" w:rsidP="000C4205">
            <w:pPr>
              <w:pStyle w:val="BodyText1"/>
              <w:spacing w:after="0" w:line="240" w:lineRule="auto"/>
              <w:rPr>
                <w:szCs w:val="22"/>
                <w:lang w:val="en-GB"/>
              </w:rPr>
            </w:pPr>
            <w:r>
              <w:rPr>
                <w:szCs w:val="22"/>
                <w:lang w:val="en-GB"/>
              </w:rPr>
              <w:t>Age distribution of existing registered boat owners 2023</w:t>
            </w:r>
          </w:p>
          <w:p w14:paraId="6BD29064" w14:textId="77777777" w:rsidR="000C4205" w:rsidRDefault="000C4205" w:rsidP="00780180">
            <w:pPr>
              <w:pStyle w:val="BodyText1"/>
              <w:numPr>
                <w:ilvl w:val="0"/>
                <w:numId w:val="25"/>
              </w:numPr>
              <w:spacing w:after="0" w:line="240" w:lineRule="auto"/>
              <w:rPr>
                <w:szCs w:val="22"/>
                <w:lang w:val="en-GB"/>
              </w:rPr>
            </w:pPr>
            <w:r>
              <w:rPr>
                <w:szCs w:val="22"/>
                <w:lang w:val="en-GB"/>
              </w:rPr>
              <w:t>&lt; 20: 0%</w:t>
            </w:r>
          </w:p>
          <w:p w14:paraId="07FA4CFC" w14:textId="77777777" w:rsidR="000C4205" w:rsidRDefault="000C4205" w:rsidP="00780180">
            <w:pPr>
              <w:pStyle w:val="BodyText1"/>
              <w:numPr>
                <w:ilvl w:val="0"/>
                <w:numId w:val="25"/>
              </w:numPr>
              <w:spacing w:after="0" w:line="240" w:lineRule="auto"/>
              <w:rPr>
                <w:szCs w:val="22"/>
                <w:lang w:val="en-GB"/>
              </w:rPr>
            </w:pPr>
            <w:r>
              <w:rPr>
                <w:szCs w:val="22"/>
                <w:lang w:val="en-GB"/>
              </w:rPr>
              <w:t>20-29: 7%</w:t>
            </w:r>
          </w:p>
          <w:p w14:paraId="28680E61" w14:textId="77777777" w:rsidR="000C4205" w:rsidRDefault="000C4205" w:rsidP="00780180">
            <w:pPr>
              <w:pStyle w:val="BodyText1"/>
              <w:numPr>
                <w:ilvl w:val="0"/>
                <w:numId w:val="25"/>
              </w:numPr>
              <w:spacing w:after="0" w:line="240" w:lineRule="auto"/>
              <w:rPr>
                <w:szCs w:val="22"/>
                <w:lang w:val="en-GB"/>
              </w:rPr>
            </w:pPr>
            <w:r>
              <w:rPr>
                <w:szCs w:val="22"/>
                <w:lang w:val="en-GB"/>
              </w:rPr>
              <w:t>30-39: 21%</w:t>
            </w:r>
          </w:p>
          <w:p w14:paraId="3AFC66DF" w14:textId="77777777" w:rsidR="000C4205" w:rsidRDefault="000C4205" w:rsidP="00780180">
            <w:pPr>
              <w:pStyle w:val="BodyText1"/>
              <w:numPr>
                <w:ilvl w:val="0"/>
                <w:numId w:val="25"/>
              </w:numPr>
              <w:spacing w:after="0" w:line="240" w:lineRule="auto"/>
              <w:rPr>
                <w:szCs w:val="22"/>
                <w:lang w:val="en-GB"/>
              </w:rPr>
            </w:pPr>
            <w:r>
              <w:rPr>
                <w:szCs w:val="22"/>
                <w:lang w:val="en-GB"/>
              </w:rPr>
              <w:t>40-49: 22%</w:t>
            </w:r>
          </w:p>
          <w:p w14:paraId="0003455E" w14:textId="77777777" w:rsidR="000C4205" w:rsidRDefault="000C4205" w:rsidP="00780180">
            <w:pPr>
              <w:pStyle w:val="BodyText1"/>
              <w:numPr>
                <w:ilvl w:val="0"/>
                <w:numId w:val="25"/>
              </w:numPr>
              <w:spacing w:after="0" w:line="240" w:lineRule="auto"/>
              <w:rPr>
                <w:szCs w:val="22"/>
                <w:lang w:val="en-GB"/>
              </w:rPr>
            </w:pPr>
            <w:r>
              <w:rPr>
                <w:szCs w:val="22"/>
                <w:lang w:val="en-GB"/>
              </w:rPr>
              <w:t>50-59: 24%</w:t>
            </w:r>
          </w:p>
          <w:p w14:paraId="1888DE26" w14:textId="77777777" w:rsidR="000C4205" w:rsidRDefault="000C4205" w:rsidP="00780180">
            <w:pPr>
              <w:pStyle w:val="BodyText1"/>
              <w:numPr>
                <w:ilvl w:val="0"/>
                <w:numId w:val="25"/>
              </w:numPr>
              <w:spacing w:after="0" w:line="240" w:lineRule="auto"/>
              <w:rPr>
                <w:szCs w:val="22"/>
                <w:lang w:val="en-GB"/>
              </w:rPr>
            </w:pPr>
            <w:r>
              <w:rPr>
                <w:szCs w:val="22"/>
                <w:lang w:val="en-GB"/>
              </w:rPr>
              <w:t>60-69: 17%</w:t>
            </w:r>
          </w:p>
          <w:p w14:paraId="55BF17B8" w14:textId="77777777" w:rsidR="000C4205" w:rsidRDefault="000C4205" w:rsidP="00780180">
            <w:pPr>
              <w:pStyle w:val="BodyText1"/>
              <w:numPr>
                <w:ilvl w:val="0"/>
                <w:numId w:val="25"/>
              </w:numPr>
              <w:spacing w:after="0" w:line="240" w:lineRule="auto"/>
              <w:rPr>
                <w:szCs w:val="22"/>
                <w:lang w:val="en-GB"/>
              </w:rPr>
            </w:pPr>
            <w:r>
              <w:rPr>
                <w:szCs w:val="22"/>
                <w:lang w:val="en-GB"/>
              </w:rPr>
              <w:t>70-79: 7%</w:t>
            </w:r>
          </w:p>
          <w:p w14:paraId="1EFDD330" w14:textId="77777777" w:rsidR="000C4205" w:rsidRDefault="000C4205" w:rsidP="00780180">
            <w:pPr>
              <w:pStyle w:val="BodyText1"/>
              <w:numPr>
                <w:ilvl w:val="0"/>
                <w:numId w:val="25"/>
              </w:numPr>
              <w:spacing w:after="0" w:line="240" w:lineRule="auto"/>
              <w:rPr>
                <w:szCs w:val="22"/>
                <w:lang w:val="en-GB"/>
              </w:rPr>
            </w:pPr>
            <w:r>
              <w:rPr>
                <w:szCs w:val="22"/>
                <w:lang w:val="en-GB"/>
              </w:rPr>
              <w:t>80-89: 2%</w:t>
            </w:r>
          </w:p>
          <w:p w14:paraId="0A9B9270" w14:textId="77777777" w:rsidR="000C4205" w:rsidRDefault="000C4205" w:rsidP="00780180">
            <w:pPr>
              <w:pStyle w:val="BodyText1"/>
              <w:numPr>
                <w:ilvl w:val="0"/>
                <w:numId w:val="25"/>
              </w:numPr>
              <w:spacing w:after="0" w:line="240" w:lineRule="auto"/>
              <w:rPr>
                <w:szCs w:val="22"/>
                <w:lang w:val="en-GB"/>
              </w:rPr>
            </w:pPr>
            <w:r>
              <w:rPr>
                <w:szCs w:val="22"/>
                <w:lang w:val="en-GB"/>
              </w:rPr>
              <w:t>&gt;89: 0%</w:t>
            </w:r>
          </w:p>
          <w:p w14:paraId="795308CF" w14:textId="77777777" w:rsidR="00643A94" w:rsidRDefault="00643A94" w:rsidP="00944851">
            <w:pPr>
              <w:pStyle w:val="BodyText1"/>
              <w:spacing w:after="0"/>
              <w:rPr>
                <w:b/>
                <w:bCs/>
                <w:szCs w:val="22"/>
                <w:lang w:val="en-GB"/>
              </w:rPr>
            </w:pPr>
            <w:r w:rsidRPr="00CF3ED4">
              <w:rPr>
                <w:b/>
                <w:bCs/>
                <w:szCs w:val="22"/>
                <w:lang w:val="en-GB"/>
              </w:rPr>
              <w:lastRenderedPageBreak/>
              <w:t>Loch Lomond and Trossachs National Park Authority</w:t>
            </w:r>
          </w:p>
          <w:p w14:paraId="0185DFEB" w14:textId="77777777" w:rsidR="00643A94" w:rsidRDefault="00643A94" w:rsidP="00944851">
            <w:pPr>
              <w:pStyle w:val="BodyText1"/>
              <w:spacing w:after="0"/>
              <w:rPr>
                <w:szCs w:val="22"/>
                <w:lang w:val="en-GB"/>
              </w:rPr>
            </w:pPr>
            <w:r w:rsidRPr="00CF3ED4">
              <w:rPr>
                <w:szCs w:val="22"/>
                <w:lang w:val="en-GB"/>
              </w:rPr>
              <w:t>Visitor Survey 2019-20</w:t>
            </w:r>
          </w:p>
          <w:p w14:paraId="07EBF172" w14:textId="77777777" w:rsidR="00643A94" w:rsidRPr="00CF3ED4" w:rsidRDefault="00643A94" w:rsidP="00643A94">
            <w:pPr>
              <w:pStyle w:val="BodyText1"/>
              <w:rPr>
                <w:szCs w:val="22"/>
                <w:lang w:val="en-GB"/>
              </w:rPr>
            </w:pPr>
            <w:r>
              <w:rPr>
                <w:szCs w:val="22"/>
                <w:lang w:val="en-GB"/>
              </w:rPr>
              <w:t>A breakdown of respondents by age</w:t>
            </w:r>
          </w:p>
          <w:p w14:paraId="019A694D" w14:textId="77777777" w:rsidR="00643A94" w:rsidRDefault="00643A94" w:rsidP="00780180">
            <w:pPr>
              <w:pStyle w:val="BodyText1"/>
              <w:numPr>
                <w:ilvl w:val="0"/>
                <w:numId w:val="22"/>
              </w:numPr>
              <w:spacing w:after="0" w:line="240" w:lineRule="auto"/>
              <w:rPr>
                <w:szCs w:val="22"/>
                <w:lang w:val="en-GB"/>
              </w:rPr>
            </w:pPr>
            <w:r>
              <w:rPr>
                <w:szCs w:val="22"/>
                <w:lang w:val="en-GB"/>
              </w:rPr>
              <w:t>18 – 24: 7%</w:t>
            </w:r>
          </w:p>
          <w:p w14:paraId="1BC66782" w14:textId="77777777" w:rsidR="00643A94" w:rsidRDefault="00643A94" w:rsidP="00780180">
            <w:pPr>
              <w:pStyle w:val="BodyText1"/>
              <w:numPr>
                <w:ilvl w:val="0"/>
                <w:numId w:val="22"/>
              </w:numPr>
              <w:spacing w:after="0" w:line="240" w:lineRule="auto"/>
              <w:rPr>
                <w:szCs w:val="22"/>
                <w:lang w:val="en-GB"/>
              </w:rPr>
            </w:pPr>
            <w:r>
              <w:rPr>
                <w:szCs w:val="22"/>
                <w:lang w:val="en-GB"/>
              </w:rPr>
              <w:t>25 – 34: 15%</w:t>
            </w:r>
          </w:p>
          <w:p w14:paraId="257DAEB9" w14:textId="77777777" w:rsidR="00643A94" w:rsidRDefault="00643A94" w:rsidP="00780180">
            <w:pPr>
              <w:pStyle w:val="BodyText1"/>
              <w:numPr>
                <w:ilvl w:val="0"/>
                <w:numId w:val="22"/>
              </w:numPr>
              <w:spacing w:after="0" w:line="240" w:lineRule="auto"/>
              <w:rPr>
                <w:szCs w:val="22"/>
                <w:lang w:val="en-GB"/>
              </w:rPr>
            </w:pPr>
            <w:r>
              <w:rPr>
                <w:szCs w:val="22"/>
                <w:lang w:val="en-GB"/>
              </w:rPr>
              <w:t>35 – 44: 17</w:t>
            </w:r>
            <w:r w:rsidR="00167380">
              <w:rPr>
                <w:szCs w:val="22"/>
                <w:lang w:val="en-GB"/>
              </w:rPr>
              <w:t>%</w:t>
            </w:r>
          </w:p>
          <w:p w14:paraId="61A4B749" w14:textId="77777777" w:rsidR="00167380" w:rsidRDefault="00167380" w:rsidP="00780180">
            <w:pPr>
              <w:pStyle w:val="BodyText1"/>
              <w:numPr>
                <w:ilvl w:val="0"/>
                <w:numId w:val="22"/>
              </w:numPr>
              <w:spacing w:after="0" w:line="240" w:lineRule="auto"/>
              <w:rPr>
                <w:szCs w:val="22"/>
                <w:lang w:val="en-GB"/>
              </w:rPr>
            </w:pPr>
            <w:r>
              <w:rPr>
                <w:szCs w:val="22"/>
                <w:lang w:val="en-GB"/>
              </w:rPr>
              <w:t>45 – 54: 20%</w:t>
            </w:r>
          </w:p>
          <w:p w14:paraId="071861AF" w14:textId="77777777" w:rsidR="00167380" w:rsidRDefault="00167380" w:rsidP="00780180">
            <w:pPr>
              <w:pStyle w:val="BodyText1"/>
              <w:numPr>
                <w:ilvl w:val="0"/>
                <w:numId w:val="22"/>
              </w:numPr>
              <w:spacing w:after="0" w:line="240" w:lineRule="auto"/>
              <w:rPr>
                <w:szCs w:val="22"/>
                <w:lang w:val="en-GB"/>
              </w:rPr>
            </w:pPr>
            <w:r>
              <w:rPr>
                <w:szCs w:val="22"/>
                <w:lang w:val="en-GB"/>
              </w:rPr>
              <w:t>55 – 64: 21%</w:t>
            </w:r>
          </w:p>
          <w:p w14:paraId="4D683B35" w14:textId="77777777" w:rsidR="00B14ABA" w:rsidRDefault="00167380" w:rsidP="00780180">
            <w:pPr>
              <w:pStyle w:val="BodyText1"/>
              <w:numPr>
                <w:ilvl w:val="0"/>
                <w:numId w:val="22"/>
              </w:numPr>
              <w:spacing w:after="0" w:line="240" w:lineRule="auto"/>
              <w:rPr>
                <w:szCs w:val="22"/>
                <w:lang w:val="en-GB"/>
              </w:rPr>
            </w:pPr>
            <w:r>
              <w:rPr>
                <w:szCs w:val="22"/>
                <w:lang w:val="en-GB"/>
              </w:rPr>
              <w:t>65+: 19%</w:t>
            </w:r>
          </w:p>
          <w:p w14:paraId="32B448C8" w14:textId="77777777" w:rsidR="00643A94" w:rsidRDefault="00643A94" w:rsidP="00B14ABA">
            <w:pPr>
              <w:pStyle w:val="BodyText1"/>
              <w:spacing w:after="0" w:line="240" w:lineRule="auto"/>
              <w:rPr>
                <w:szCs w:val="22"/>
                <w:lang w:val="en-GB"/>
              </w:rPr>
            </w:pPr>
          </w:p>
          <w:p w14:paraId="4958E30B" w14:textId="77777777" w:rsidR="00B14ABA" w:rsidRDefault="00270AAC" w:rsidP="005E5685">
            <w:pPr>
              <w:pStyle w:val="BodyText1"/>
              <w:spacing w:after="0" w:line="240" w:lineRule="auto"/>
              <w:rPr>
                <w:szCs w:val="22"/>
                <w:lang w:val="en-GB"/>
              </w:rPr>
            </w:pPr>
            <w:r>
              <w:rPr>
                <w:szCs w:val="22"/>
                <w:lang w:val="en-GB"/>
              </w:rPr>
              <w:t xml:space="preserve">Evaluation of visitor </w:t>
            </w:r>
            <w:r w:rsidRPr="00B14ABA">
              <w:rPr>
                <w:szCs w:val="22"/>
              </w:rPr>
              <w:t>experiences of camping in the National Park</w:t>
            </w:r>
            <w:r>
              <w:rPr>
                <w:szCs w:val="22"/>
              </w:rPr>
              <w:t xml:space="preserve"> 2019</w:t>
            </w:r>
          </w:p>
          <w:p w14:paraId="720AF449" w14:textId="77777777" w:rsidR="00B14ABA" w:rsidRDefault="00B14ABA" w:rsidP="005E5685">
            <w:pPr>
              <w:pStyle w:val="BodyText1"/>
              <w:spacing w:after="0" w:line="240" w:lineRule="auto"/>
              <w:rPr>
                <w:szCs w:val="22"/>
                <w:lang w:val="en-GB"/>
              </w:rPr>
            </w:pPr>
          </w:p>
          <w:p w14:paraId="294A85D0" w14:textId="77777777" w:rsidR="00270AAC" w:rsidRDefault="00CA1E74" w:rsidP="00780180">
            <w:pPr>
              <w:pStyle w:val="BodyText1"/>
              <w:numPr>
                <w:ilvl w:val="0"/>
                <w:numId w:val="22"/>
              </w:numPr>
              <w:spacing w:after="0" w:line="240" w:lineRule="auto"/>
              <w:rPr>
                <w:szCs w:val="22"/>
                <w:lang w:val="en-GB"/>
              </w:rPr>
            </w:pPr>
            <w:r>
              <w:rPr>
                <w:szCs w:val="22"/>
                <w:lang w:val="en-GB"/>
              </w:rPr>
              <w:t>&lt; 25</w:t>
            </w:r>
            <w:r w:rsidR="00270AAC">
              <w:rPr>
                <w:szCs w:val="22"/>
                <w:lang w:val="en-GB"/>
              </w:rPr>
              <w:t>: 7%</w:t>
            </w:r>
          </w:p>
          <w:p w14:paraId="2AFC489E" w14:textId="77777777" w:rsidR="00270AAC" w:rsidRDefault="00270AAC" w:rsidP="00780180">
            <w:pPr>
              <w:pStyle w:val="BodyText1"/>
              <w:numPr>
                <w:ilvl w:val="0"/>
                <w:numId w:val="22"/>
              </w:numPr>
              <w:spacing w:after="0" w:line="240" w:lineRule="auto"/>
              <w:rPr>
                <w:szCs w:val="22"/>
                <w:lang w:val="en-GB"/>
              </w:rPr>
            </w:pPr>
            <w:r>
              <w:rPr>
                <w:szCs w:val="22"/>
                <w:lang w:val="en-GB"/>
              </w:rPr>
              <w:t>25 – 34: 1</w:t>
            </w:r>
            <w:r w:rsidR="00CA1E74">
              <w:rPr>
                <w:szCs w:val="22"/>
                <w:lang w:val="en-GB"/>
              </w:rPr>
              <w:t>8</w:t>
            </w:r>
            <w:r>
              <w:rPr>
                <w:szCs w:val="22"/>
                <w:lang w:val="en-GB"/>
              </w:rPr>
              <w:t>%</w:t>
            </w:r>
          </w:p>
          <w:p w14:paraId="2B7A96E3" w14:textId="77777777" w:rsidR="00270AAC" w:rsidRDefault="00270AAC" w:rsidP="00780180">
            <w:pPr>
              <w:pStyle w:val="BodyText1"/>
              <w:numPr>
                <w:ilvl w:val="0"/>
                <w:numId w:val="22"/>
              </w:numPr>
              <w:spacing w:after="0" w:line="240" w:lineRule="auto"/>
              <w:rPr>
                <w:szCs w:val="22"/>
                <w:lang w:val="en-GB"/>
              </w:rPr>
            </w:pPr>
            <w:r>
              <w:rPr>
                <w:szCs w:val="22"/>
                <w:lang w:val="en-GB"/>
              </w:rPr>
              <w:t>35 – 44:</w:t>
            </w:r>
            <w:r w:rsidR="00CA1E74">
              <w:rPr>
                <w:szCs w:val="22"/>
                <w:lang w:val="en-GB"/>
              </w:rPr>
              <w:t xml:space="preserve"> 22</w:t>
            </w:r>
            <w:r>
              <w:rPr>
                <w:szCs w:val="22"/>
                <w:lang w:val="en-GB"/>
              </w:rPr>
              <w:t>%</w:t>
            </w:r>
          </w:p>
          <w:p w14:paraId="18FB52DE" w14:textId="77777777" w:rsidR="00270AAC" w:rsidRDefault="00270AAC" w:rsidP="00780180">
            <w:pPr>
              <w:pStyle w:val="BodyText1"/>
              <w:numPr>
                <w:ilvl w:val="0"/>
                <w:numId w:val="22"/>
              </w:numPr>
              <w:spacing w:after="0" w:line="240" w:lineRule="auto"/>
              <w:rPr>
                <w:szCs w:val="22"/>
                <w:lang w:val="en-GB"/>
              </w:rPr>
            </w:pPr>
            <w:r>
              <w:rPr>
                <w:szCs w:val="22"/>
                <w:lang w:val="en-GB"/>
              </w:rPr>
              <w:t>45 – 54:</w:t>
            </w:r>
            <w:r w:rsidR="00CA1E74">
              <w:rPr>
                <w:szCs w:val="22"/>
                <w:lang w:val="en-GB"/>
              </w:rPr>
              <w:t xml:space="preserve"> 29</w:t>
            </w:r>
            <w:r>
              <w:rPr>
                <w:szCs w:val="22"/>
                <w:lang w:val="en-GB"/>
              </w:rPr>
              <w:t>%</w:t>
            </w:r>
          </w:p>
          <w:p w14:paraId="7CA6BE4D" w14:textId="77777777" w:rsidR="00270AAC" w:rsidRDefault="00270AAC" w:rsidP="00780180">
            <w:pPr>
              <w:pStyle w:val="BodyText1"/>
              <w:numPr>
                <w:ilvl w:val="0"/>
                <w:numId w:val="22"/>
              </w:numPr>
              <w:spacing w:after="0" w:line="240" w:lineRule="auto"/>
              <w:rPr>
                <w:szCs w:val="22"/>
                <w:lang w:val="en-GB"/>
              </w:rPr>
            </w:pPr>
            <w:r>
              <w:rPr>
                <w:szCs w:val="22"/>
                <w:lang w:val="en-GB"/>
              </w:rPr>
              <w:t>55 – 64:</w:t>
            </w:r>
            <w:r w:rsidR="00CA1E74">
              <w:rPr>
                <w:szCs w:val="22"/>
                <w:lang w:val="en-GB"/>
              </w:rPr>
              <w:t xml:space="preserve"> 20</w:t>
            </w:r>
            <w:r>
              <w:rPr>
                <w:szCs w:val="22"/>
                <w:lang w:val="en-GB"/>
              </w:rPr>
              <w:t>%</w:t>
            </w:r>
          </w:p>
          <w:p w14:paraId="23DF7DE5" w14:textId="77777777" w:rsidR="00B14ABA" w:rsidRPr="00FC5BC3" w:rsidRDefault="00CA1E74" w:rsidP="00780180">
            <w:pPr>
              <w:pStyle w:val="BodyText1"/>
              <w:numPr>
                <w:ilvl w:val="0"/>
                <w:numId w:val="22"/>
              </w:numPr>
              <w:spacing w:after="0" w:line="240" w:lineRule="auto"/>
              <w:rPr>
                <w:szCs w:val="22"/>
                <w:lang w:val="en-GB"/>
              </w:rPr>
            </w:pPr>
            <w:r>
              <w:rPr>
                <w:szCs w:val="22"/>
                <w:lang w:val="en-GB"/>
              </w:rPr>
              <w:t>65+: 6</w:t>
            </w:r>
            <w:r w:rsidR="00270AAC">
              <w:rPr>
                <w:szCs w:val="22"/>
                <w:lang w:val="en-GB"/>
              </w:rPr>
              <w:t>%</w:t>
            </w:r>
          </w:p>
          <w:p w14:paraId="36CC1CDC" w14:textId="77777777" w:rsidR="005E5685" w:rsidRDefault="005E5685" w:rsidP="005E5685">
            <w:pPr>
              <w:pStyle w:val="BodyText1"/>
              <w:spacing w:after="0" w:line="240" w:lineRule="auto"/>
              <w:rPr>
                <w:szCs w:val="22"/>
                <w:lang w:val="en-GB"/>
              </w:rPr>
            </w:pPr>
          </w:p>
          <w:p w14:paraId="5EB82211" w14:textId="77777777" w:rsidR="005159F8" w:rsidRDefault="005159F8" w:rsidP="005E5685">
            <w:pPr>
              <w:pStyle w:val="BodyText1"/>
              <w:spacing w:after="0" w:line="240" w:lineRule="auto"/>
              <w:rPr>
                <w:szCs w:val="22"/>
                <w:lang w:val="en-GB"/>
              </w:rPr>
            </w:pPr>
          </w:p>
          <w:p w14:paraId="6A41BF69" w14:textId="77777777" w:rsidR="005159F8" w:rsidRDefault="005159F8" w:rsidP="005E5685">
            <w:pPr>
              <w:pStyle w:val="BodyText1"/>
              <w:spacing w:after="0" w:line="240" w:lineRule="auto"/>
              <w:rPr>
                <w:szCs w:val="22"/>
                <w:lang w:val="en-GB"/>
              </w:rPr>
            </w:pPr>
          </w:p>
          <w:p w14:paraId="4FED7FA6" w14:textId="77777777" w:rsidR="005159F8" w:rsidRPr="00EE6A56" w:rsidRDefault="005159F8" w:rsidP="005E5685">
            <w:pPr>
              <w:pStyle w:val="BodyText1"/>
              <w:spacing w:after="0" w:line="240" w:lineRule="auto"/>
              <w:rPr>
                <w:szCs w:val="22"/>
                <w:lang w:val="en-GB"/>
              </w:rPr>
            </w:pPr>
          </w:p>
        </w:tc>
        <w:tc>
          <w:tcPr>
            <w:tcW w:w="3780" w:type="dxa"/>
            <w:shd w:val="clear" w:color="auto" w:fill="FFFFFF"/>
          </w:tcPr>
          <w:p w14:paraId="4946ED3E" w14:textId="10DE74EF" w:rsidR="00C91FFC" w:rsidRPr="00C91FFC" w:rsidRDefault="00C91FFC" w:rsidP="002616B1">
            <w:pPr>
              <w:spacing w:line="240" w:lineRule="auto"/>
              <w:rPr>
                <w:rFonts w:cs="Arial"/>
                <w:szCs w:val="22"/>
                <w:u w:val="single"/>
              </w:rPr>
            </w:pPr>
            <w:r w:rsidRPr="00EA1E1E">
              <w:rPr>
                <w:u w:val="single"/>
              </w:rPr>
              <w:lastRenderedPageBreak/>
              <w:t>Access to the policy online</w:t>
            </w:r>
          </w:p>
          <w:p w14:paraId="62FA289A" w14:textId="5E2840B3" w:rsidR="00837C33" w:rsidRDefault="00837C33" w:rsidP="002616B1">
            <w:pPr>
              <w:spacing w:line="240" w:lineRule="auto"/>
              <w:rPr>
                <w:rFonts w:cs="Arial"/>
                <w:szCs w:val="22"/>
              </w:rPr>
            </w:pPr>
            <w:r>
              <w:t xml:space="preserve">In </w:t>
            </w:r>
            <w:proofErr w:type="gramStart"/>
            <w:r>
              <w:t>general</w:t>
            </w:r>
            <w:proofErr w:type="gramEnd"/>
            <w:r>
              <w:t xml:space="preserve"> the unfamiliarity some people may have with online working and social media may impact on their ability to access this policy. This could unduly impact on those in the </w:t>
            </w:r>
            <w:r w:rsidR="00837B63">
              <w:t>upper age group</w:t>
            </w:r>
            <w:r w:rsidR="00F66B1C">
              <w:t xml:space="preserve"> </w:t>
            </w:r>
            <w:r>
              <w:t>who may be less familiar with technology.</w:t>
            </w:r>
          </w:p>
          <w:p w14:paraId="15A09705" w14:textId="77777777" w:rsidR="007317AB" w:rsidRDefault="00837C33" w:rsidP="002616B1">
            <w:pPr>
              <w:spacing w:line="240" w:lineRule="auto"/>
              <w:rPr>
                <w:rFonts w:cs="Arial"/>
                <w:szCs w:val="22"/>
              </w:rPr>
            </w:pPr>
            <w:r>
              <w:rPr>
                <w:rFonts w:cs="Arial"/>
                <w:szCs w:val="22"/>
              </w:rPr>
              <w:t xml:space="preserve">The distribution of ages within the current registered boat owner age </w:t>
            </w:r>
            <w:r>
              <w:rPr>
                <w:rFonts w:cs="Arial"/>
                <w:szCs w:val="22"/>
              </w:rPr>
              <w:lastRenderedPageBreak/>
              <w:t xml:space="preserve">groups shows a greater percentage, 50% being over 50 years old, as compared to the </w:t>
            </w:r>
            <w:r w:rsidRPr="00EE6A56">
              <w:rPr>
                <w:szCs w:val="22"/>
                <w:lang w:val="en-GB"/>
              </w:rPr>
              <w:t>20</w:t>
            </w:r>
            <w:r w:rsidR="00F53979">
              <w:rPr>
                <w:szCs w:val="22"/>
                <w:lang w:val="en-GB"/>
              </w:rPr>
              <w:t>22</w:t>
            </w:r>
            <w:r w:rsidRPr="00EE6A56">
              <w:rPr>
                <w:szCs w:val="22"/>
                <w:lang w:val="en-GB"/>
              </w:rPr>
              <w:t xml:space="preserve"> Census</w:t>
            </w:r>
            <w:r>
              <w:rPr>
                <w:szCs w:val="22"/>
                <w:lang w:val="en-GB"/>
              </w:rPr>
              <w:t>.</w:t>
            </w:r>
            <w:r>
              <w:rPr>
                <w:rFonts w:cs="Arial"/>
                <w:szCs w:val="22"/>
              </w:rPr>
              <w:t xml:space="preserve">  There is a possibility registered owners in the upper age group will have no access to online systems to access the policy</w:t>
            </w:r>
            <w:r w:rsidR="00F83B12">
              <w:rPr>
                <w:rFonts w:cs="Arial"/>
                <w:szCs w:val="22"/>
              </w:rPr>
              <w:t xml:space="preserve"> via this route</w:t>
            </w:r>
            <w:r>
              <w:rPr>
                <w:rFonts w:cs="Arial"/>
                <w:szCs w:val="22"/>
              </w:rPr>
              <w:t>.</w:t>
            </w:r>
          </w:p>
          <w:p w14:paraId="0E143371" w14:textId="76D3E362" w:rsidR="00F66B1C" w:rsidRDefault="00F66B1C" w:rsidP="00F66B1C">
            <w:pPr>
              <w:pStyle w:val="BodyText1"/>
            </w:pPr>
          </w:p>
          <w:p w14:paraId="1ECA0873" w14:textId="48305488" w:rsidR="00F66B1C" w:rsidRPr="00F66B1C" w:rsidRDefault="00F66B1C" w:rsidP="00F66B1C">
            <w:pPr>
              <w:pStyle w:val="BodyText1"/>
            </w:pPr>
            <w:r>
              <w:t>Under the review of the policy</w:t>
            </w:r>
            <w:r w:rsidR="006515D3">
              <w:t>,</w:t>
            </w:r>
            <w:r>
              <w:t xml:space="preserve"> it has now been made clear how the policy will positively impact on those under the age of 16 years.</w:t>
            </w:r>
          </w:p>
        </w:tc>
        <w:tc>
          <w:tcPr>
            <w:tcW w:w="3780" w:type="dxa"/>
            <w:shd w:val="clear" w:color="auto" w:fill="FFFFFF"/>
          </w:tcPr>
          <w:p w14:paraId="3774CE70" w14:textId="77777777" w:rsidR="00C91FFC" w:rsidRDefault="00C91FFC" w:rsidP="00C9789D"/>
          <w:p w14:paraId="47B2EA36" w14:textId="4138B497" w:rsidR="006148BE" w:rsidRPr="006148BE" w:rsidRDefault="004F5BF9" w:rsidP="00C9789D">
            <w:r>
              <w:t>Ensure that there are alternative mechanisms</w:t>
            </w:r>
            <w:r w:rsidR="00837C33">
              <w:t>, e.g.</w:t>
            </w:r>
            <w:r w:rsidR="00492920">
              <w:t xml:space="preserve"> </w:t>
            </w:r>
            <w:r w:rsidR="00837C33">
              <w:t xml:space="preserve">hard copies </w:t>
            </w:r>
            <w:r w:rsidR="00492920">
              <w:t xml:space="preserve">that can be made </w:t>
            </w:r>
            <w:r w:rsidR="00837C33">
              <w:t xml:space="preserve">available </w:t>
            </w:r>
            <w:r>
              <w:t xml:space="preserve">to allow </w:t>
            </w:r>
            <w:r w:rsidR="00A749BF">
              <w:t>members of the public</w:t>
            </w:r>
            <w:r>
              <w:t xml:space="preserve"> to </w:t>
            </w:r>
            <w:r w:rsidR="00707605">
              <w:t xml:space="preserve">access the Policy </w:t>
            </w:r>
            <w:r w:rsidR="00492920">
              <w:t xml:space="preserve">on request </w:t>
            </w:r>
            <w:r w:rsidR="00707605">
              <w:t>other than online if required.</w:t>
            </w:r>
            <w:r w:rsidR="00664F37">
              <w:t xml:space="preserve"> </w:t>
            </w:r>
          </w:p>
        </w:tc>
      </w:tr>
      <w:tr w:rsidR="00EE6A56" w:rsidRPr="00347039" w14:paraId="496F6965" w14:textId="77777777">
        <w:tc>
          <w:tcPr>
            <w:tcW w:w="2660" w:type="dxa"/>
            <w:shd w:val="clear" w:color="auto" w:fill="FFFFFF"/>
          </w:tcPr>
          <w:p w14:paraId="04403240" w14:textId="77777777" w:rsidR="00EE6A56" w:rsidRPr="008D0410" w:rsidRDefault="00EE6A56" w:rsidP="00EE6A56">
            <w:pPr>
              <w:pStyle w:val="n"/>
              <w:numPr>
                <w:ilvl w:val="0"/>
                <w:numId w:val="0"/>
              </w:numPr>
              <w:spacing w:before="0"/>
              <w:rPr>
                <w:rFonts w:cs="Arial"/>
                <w:b/>
                <w:sz w:val="22"/>
                <w:szCs w:val="22"/>
              </w:rPr>
            </w:pPr>
            <w:r w:rsidRPr="008D0410">
              <w:rPr>
                <w:rFonts w:cs="Arial"/>
                <w:b/>
                <w:sz w:val="22"/>
                <w:szCs w:val="22"/>
              </w:rPr>
              <w:lastRenderedPageBreak/>
              <w:t xml:space="preserve">Disability </w:t>
            </w:r>
          </w:p>
        </w:tc>
        <w:tc>
          <w:tcPr>
            <w:tcW w:w="3780" w:type="dxa"/>
            <w:shd w:val="clear" w:color="auto" w:fill="FFFFFF"/>
          </w:tcPr>
          <w:p w14:paraId="2EDBC40A" w14:textId="358494E0" w:rsidR="000D1C54" w:rsidRPr="00B15D80" w:rsidRDefault="000D1C54" w:rsidP="000D1C54">
            <w:pPr>
              <w:pStyle w:val="BodyText1"/>
              <w:rPr>
                <w:b/>
                <w:bCs/>
              </w:rPr>
            </w:pPr>
            <w:r w:rsidRPr="00B15D80">
              <w:rPr>
                <w:b/>
                <w:bCs/>
              </w:rPr>
              <w:t>UK disability statistics: Prevalence and life experiences</w:t>
            </w:r>
            <w:r w:rsidR="00A23E27" w:rsidRPr="00B15D80">
              <w:rPr>
                <w:b/>
                <w:bCs/>
              </w:rPr>
              <w:t xml:space="preserve"> – August 2023</w:t>
            </w:r>
          </w:p>
          <w:p w14:paraId="3FFC73EC" w14:textId="77777777" w:rsidR="000D1C54" w:rsidRPr="00B15D80" w:rsidRDefault="000D1C54" w:rsidP="000D1C54">
            <w:pPr>
              <w:pStyle w:val="BodyText1"/>
              <w:rPr>
                <w:szCs w:val="22"/>
              </w:rPr>
            </w:pPr>
            <w:r w:rsidRPr="00B15D80">
              <w:t>An estimated 16.0 million people in the UK had a disability in 2021/22. This represents 24% of the total population. The prevalence of disability rises with age: around 11% of children were disabled, compared with 23% of working age adults and 45% of adults over State Pension age.</w:t>
            </w:r>
          </w:p>
          <w:p w14:paraId="52F7F8BA" w14:textId="77777777" w:rsidR="000D1C54" w:rsidRPr="00B15D80" w:rsidRDefault="000D1C54" w:rsidP="000D1C54">
            <w:pPr>
              <w:spacing w:after="0"/>
            </w:pPr>
            <w:r w:rsidRPr="00B15D80">
              <w:t>The types of impairments reported</w:t>
            </w:r>
          </w:p>
          <w:p w14:paraId="0E0DE92A" w14:textId="77777777" w:rsidR="000D1C54" w:rsidRPr="00B15D80" w:rsidRDefault="000D1C54" w:rsidP="000D1C54">
            <w:pPr>
              <w:spacing w:after="0"/>
            </w:pPr>
            <w:r w:rsidRPr="00B15D80">
              <w:t xml:space="preserve">Mobility 47% </w:t>
            </w:r>
          </w:p>
          <w:p w14:paraId="46B6B1D2" w14:textId="77777777" w:rsidR="000D1C54" w:rsidRPr="00B15D80" w:rsidRDefault="000D1C54" w:rsidP="000D1C54">
            <w:pPr>
              <w:spacing w:after="0"/>
            </w:pPr>
            <w:r w:rsidRPr="00B15D80">
              <w:t xml:space="preserve">Stamina/breathing/fatigue 35% </w:t>
            </w:r>
          </w:p>
          <w:p w14:paraId="69D09CA7" w14:textId="77777777" w:rsidR="000D1C54" w:rsidRPr="00B15D80" w:rsidRDefault="000D1C54" w:rsidP="000D1C54">
            <w:pPr>
              <w:spacing w:after="0"/>
            </w:pPr>
            <w:r w:rsidRPr="00B15D80">
              <w:t xml:space="preserve">Mental health 32% </w:t>
            </w:r>
          </w:p>
          <w:p w14:paraId="0316AAEF" w14:textId="77777777" w:rsidR="000D1C54" w:rsidRPr="00B15D80" w:rsidRDefault="000D1C54" w:rsidP="000D1C54">
            <w:pPr>
              <w:spacing w:after="0"/>
            </w:pPr>
            <w:r w:rsidRPr="00B15D80">
              <w:t xml:space="preserve">Dexterity 25% </w:t>
            </w:r>
          </w:p>
          <w:p w14:paraId="17A83465" w14:textId="77777777" w:rsidR="000D1C54" w:rsidRPr="00B15D80" w:rsidRDefault="000D1C54" w:rsidP="000D1C54">
            <w:pPr>
              <w:spacing w:after="0"/>
            </w:pPr>
            <w:r w:rsidRPr="00B15D80">
              <w:t xml:space="preserve">Memory 13% </w:t>
            </w:r>
          </w:p>
          <w:p w14:paraId="2AEEC88F" w14:textId="77777777" w:rsidR="000D1C54" w:rsidRPr="00B15D80" w:rsidRDefault="000D1C54" w:rsidP="000D1C54">
            <w:pPr>
              <w:spacing w:after="0"/>
            </w:pPr>
            <w:r w:rsidRPr="00B15D80">
              <w:t xml:space="preserve">Learning 13% </w:t>
            </w:r>
          </w:p>
          <w:p w14:paraId="2590D378" w14:textId="77777777" w:rsidR="000D1C54" w:rsidRPr="00B15D80" w:rsidRDefault="000D1C54" w:rsidP="000D1C54">
            <w:pPr>
              <w:spacing w:after="0"/>
            </w:pPr>
            <w:r w:rsidRPr="00B15D80">
              <w:t xml:space="preserve">Social / </w:t>
            </w:r>
            <w:proofErr w:type="spellStart"/>
            <w:r w:rsidRPr="00B15D80">
              <w:t>behavioural</w:t>
            </w:r>
            <w:proofErr w:type="spellEnd"/>
            <w:r w:rsidRPr="00B15D80">
              <w:t xml:space="preserve"> 11% </w:t>
            </w:r>
          </w:p>
          <w:p w14:paraId="400D5AF1" w14:textId="77777777" w:rsidR="000D1C54" w:rsidRPr="00B15D80" w:rsidRDefault="000D1C54" w:rsidP="000D1C54">
            <w:pPr>
              <w:spacing w:after="0"/>
            </w:pPr>
            <w:r w:rsidRPr="00B15D80">
              <w:t xml:space="preserve">Hearing* 9% </w:t>
            </w:r>
          </w:p>
          <w:p w14:paraId="5B6699CE" w14:textId="77777777" w:rsidR="000D1C54" w:rsidRPr="00B15D80" w:rsidRDefault="000D1C54" w:rsidP="000D1C54">
            <w:pPr>
              <w:spacing w:after="0"/>
            </w:pPr>
            <w:r w:rsidRPr="00B15D80">
              <w:lastRenderedPageBreak/>
              <w:t xml:space="preserve">Vision 9% </w:t>
            </w:r>
          </w:p>
          <w:p w14:paraId="0A274DE7" w14:textId="77777777" w:rsidR="000D1C54" w:rsidRPr="00B15D80" w:rsidRDefault="000D1C54" w:rsidP="000D1C54">
            <w:pPr>
              <w:spacing w:after="0"/>
            </w:pPr>
            <w:r w:rsidRPr="00B15D80">
              <w:t>Other 20%</w:t>
            </w:r>
          </w:p>
          <w:p w14:paraId="2DD47B2C" w14:textId="20E45722" w:rsidR="004A1ED7" w:rsidRPr="00B15D80" w:rsidRDefault="000D1C54" w:rsidP="000D1C54">
            <w:pPr>
              <w:spacing w:after="0" w:line="240" w:lineRule="auto"/>
              <w:rPr>
                <w:rFonts w:cs="Arial"/>
                <w:szCs w:val="22"/>
                <w:u w:val="single"/>
                <w:lang w:val="en-GB"/>
              </w:rPr>
            </w:pPr>
            <w:r w:rsidRPr="00B15D80">
              <w:t>*Data for the ‘Hearing’ category should be treated with caution because of the possible sampling limitations of interviewing by telephone this survey year.</w:t>
            </w:r>
          </w:p>
          <w:p w14:paraId="1704D13D" w14:textId="77777777" w:rsidR="000D1C54" w:rsidRPr="000D1C54" w:rsidRDefault="000D1C54" w:rsidP="000D1C54">
            <w:pPr>
              <w:pStyle w:val="BodyText1"/>
              <w:rPr>
                <w:lang w:val="en-GB"/>
              </w:rPr>
            </w:pPr>
          </w:p>
          <w:p w14:paraId="4B860A1F" w14:textId="7B098361" w:rsidR="00EE6A56" w:rsidRPr="00EE6A56" w:rsidRDefault="00344321" w:rsidP="00EE6A56">
            <w:pPr>
              <w:spacing w:after="0" w:line="240" w:lineRule="auto"/>
              <w:rPr>
                <w:rFonts w:cs="Arial"/>
                <w:szCs w:val="22"/>
                <w:lang w:val="en-GB"/>
              </w:rPr>
            </w:pPr>
            <w:r>
              <w:rPr>
                <w:rFonts w:cs="Arial"/>
                <w:szCs w:val="22"/>
                <w:lang w:val="en-GB"/>
              </w:rPr>
              <w:t>*</w:t>
            </w:r>
            <w:r w:rsidR="00EE6A56" w:rsidRPr="00EE6A56">
              <w:rPr>
                <w:rFonts w:cs="Arial"/>
                <w:szCs w:val="22"/>
                <w:lang w:val="en-GB"/>
              </w:rPr>
              <w:t>From the 2011 Census data:</w:t>
            </w:r>
          </w:p>
          <w:p w14:paraId="703F1782" w14:textId="77777777" w:rsidR="00EE6A56" w:rsidRPr="00EE6A56" w:rsidRDefault="00EE6A56" w:rsidP="00EE6A56">
            <w:pPr>
              <w:spacing w:after="0" w:line="240" w:lineRule="auto"/>
              <w:rPr>
                <w:rFonts w:cs="Arial"/>
                <w:szCs w:val="22"/>
                <w:lang w:val="en-GB"/>
              </w:rPr>
            </w:pPr>
            <w:r w:rsidRPr="00EE6A56">
              <w:rPr>
                <w:rFonts w:cs="Arial"/>
                <w:szCs w:val="22"/>
                <w:lang w:val="en-GB"/>
              </w:rPr>
              <w:t xml:space="preserve">70% of the Scottish population did not regard themselves as having any disability. </w:t>
            </w:r>
          </w:p>
          <w:p w14:paraId="3F75C4AC" w14:textId="77777777" w:rsidR="00EE6A56" w:rsidRPr="00EE6A56" w:rsidRDefault="00EE6A56" w:rsidP="00EE6A56">
            <w:pPr>
              <w:spacing w:after="0" w:line="240" w:lineRule="auto"/>
              <w:rPr>
                <w:rFonts w:cs="Arial"/>
                <w:szCs w:val="22"/>
              </w:rPr>
            </w:pPr>
            <w:r w:rsidRPr="00EE6A56">
              <w:rPr>
                <w:rFonts w:cs="Arial"/>
                <w:szCs w:val="22"/>
              </w:rPr>
              <w:t xml:space="preserve">Of the 30% who had one or more disability: </w:t>
            </w:r>
          </w:p>
          <w:p w14:paraId="2406CA6F" w14:textId="77777777" w:rsidR="00EE6A56" w:rsidRPr="00EE6A56" w:rsidRDefault="00EE6A56" w:rsidP="00780180">
            <w:pPr>
              <w:numPr>
                <w:ilvl w:val="0"/>
                <w:numId w:val="19"/>
              </w:numPr>
              <w:spacing w:after="0" w:line="240" w:lineRule="auto"/>
              <w:rPr>
                <w:rFonts w:cs="Arial"/>
                <w:szCs w:val="22"/>
              </w:rPr>
            </w:pPr>
            <w:r w:rsidRPr="00EE6A56">
              <w:rPr>
                <w:rFonts w:cs="Arial"/>
                <w:szCs w:val="22"/>
              </w:rPr>
              <w:t>7% deafness/hearing loss</w:t>
            </w:r>
          </w:p>
          <w:p w14:paraId="3390D6E5" w14:textId="77777777" w:rsidR="00EE6A56" w:rsidRPr="00EE6A56" w:rsidRDefault="00EE6A56" w:rsidP="00780180">
            <w:pPr>
              <w:numPr>
                <w:ilvl w:val="0"/>
                <w:numId w:val="19"/>
              </w:numPr>
              <w:spacing w:after="0" w:line="240" w:lineRule="auto"/>
              <w:rPr>
                <w:rFonts w:cs="Arial"/>
                <w:szCs w:val="22"/>
              </w:rPr>
            </w:pPr>
            <w:r w:rsidRPr="00EE6A56">
              <w:rPr>
                <w:rFonts w:cs="Arial"/>
                <w:szCs w:val="22"/>
              </w:rPr>
              <w:t>2% blindness/sight loss</w:t>
            </w:r>
          </w:p>
          <w:p w14:paraId="5690EF79" w14:textId="77777777" w:rsidR="00EE6A56" w:rsidRPr="00EE6A56" w:rsidRDefault="00EE6A56" w:rsidP="00780180">
            <w:pPr>
              <w:numPr>
                <w:ilvl w:val="0"/>
                <w:numId w:val="19"/>
              </w:numPr>
              <w:spacing w:after="0" w:line="240" w:lineRule="auto"/>
              <w:rPr>
                <w:rFonts w:cs="Arial"/>
                <w:szCs w:val="22"/>
              </w:rPr>
            </w:pPr>
            <w:r w:rsidRPr="00EE6A56">
              <w:rPr>
                <w:rFonts w:cs="Arial"/>
                <w:szCs w:val="22"/>
              </w:rPr>
              <w:t>7% physical disability</w:t>
            </w:r>
          </w:p>
          <w:p w14:paraId="113FDE76" w14:textId="77777777" w:rsidR="00EE6A56" w:rsidRPr="00EE6A56" w:rsidRDefault="00EE6A56" w:rsidP="00780180">
            <w:pPr>
              <w:numPr>
                <w:ilvl w:val="0"/>
                <w:numId w:val="19"/>
              </w:numPr>
              <w:spacing w:after="0" w:line="240" w:lineRule="auto"/>
              <w:rPr>
                <w:rFonts w:cs="Arial"/>
                <w:szCs w:val="22"/>
              </w:rPr>
            </w:pPr>
            <w:r w:rsidRPr="00EE6A56">
              <w:rPr>
                <w:rFonts w:cs="Arial"/>
                <w:szCs w:val="22"/>
              </w:rPr>
              <w:t>4% mental health condition</w:t>
            </w:r>
          </w:p>
          <w:p w14:paraId="5A45FEC0" w14:textId="77777777" w:rsidR="00EE6A56" w:rsidRDefault="00EE6A56" w:rsidP="00780180">
            <w:pPr>
              <w:numPr>
                <w:ilvl w:val="0"/>
                <w:numId w:val="19"/>
              </w:numPr>
              <w:spacing w:after="0" w:line="240" w:lineRule="auto"/>
              <w:rPr>
                <w:rFonts w:cs="Arial"/>
                <w:szCs w:val="22"/>
              </w:rPr>
            </w:pPr>
            <w:r w:rsidRPr="00EE6A56">
              <w:rPr>
                <w:rFonts w:cs="Arial"/>
                <w:szCs w:val="22"/>
              </w:rPr>
              <w:t>19% other</w:t>
            </w:r>
          </w:p>
          <w:p w14:paraId="4A4AFA32" w14:textId="65FB1FBE" w:rsidR="005E5685" w:rsidRDefault="00891113" w:rsidP="005E5685">
            <w:pPr>
              <w:pStyle w:val="BodyText1"/>
            </w:pPr>
            <w:r>
              <w:rPr>
                <w:szCs w:val="22"/>
              </w:rPr>
              <w:t>*Most up to date Scotland Census data</w:t>
            </w:r>
          </w:p>
          <w:p w14:paraId="396D1FF7" w14:textId="77777777" w:rsidR="00167380" w:rsidRDefault="00167380" w:rsidP="00167380">
            <w:pPr>
              <w:pStyle w:val="BodyText1"/>
              <w:rPr>
                <w:b/>
                <w:bCs/>
                <w:szCs w:val="22"/>
                <w:lang w:val="en-GB"/>
              </w:rPr>
            </w:pPr>
            <w:r w:rsidRPr="00CF3ED4">
              <w:rPr>
                <w:b/>
                <w:bCs/>
                <w:szCs w:val="22"/>
                <w:lang w:val="en-GB"/>
              </w:rPr>
              <w:t>Loch Lomond and Trossachs National Park Authority</w:t>
            </w:r>
          </w:p>
          <w:p w14:paraId="2A700B5E" w14:textId="77777777" w:rsidR="00167380" w:rsidRDefault="00167380" w:rsidP="00167380">
            <w:pPr>
              <w:pStyle w:val="BodyText1"/>
              <w:rPr>
                <w:szCs w:val="22"/>
                <w:lang w:val="en-GB"/>
              </w:rPr>
            </w:pPr>
            <w:r w:rsidRPr="00CF3ED4">
              <w:rPr>
                <w:szCs w:val="22"/>
                <w:lang w:val="en-GB"/>
              </w:rPr>
              <w:lastRenderedPageBreak/>
              <w:t>Visitor Survey 2019-20</w:t>
            </w:r>
          </w:p>
          <w:p w14:paraId="2770D750" w14:textId="77777777" w:rsidR="00167380" w:rsidRDefault="00167380" w:rsidP="00167380">
            <w:pPr>
              <w:pStyle w:val="BodyText1"/>
              <w:rPr>
                <w:szCs w:val="22"/>
              </w:rPr>
            </w:pPr>
            <w:r>
              <w:rPr>
                <w:szCs w:val="22"/>
                <w:lang w:val="en-GB"/>
              </w:rPr>
              <w:t xml:space="preserve">9% of respondents said they </w:t>
            </w:r>
            <w:r w:rsidRPr="00167380">
              <w:rPr>
                <w:szCs w:val="22"/>
              </w:rPr>
              <w:t xml:space="preserve">had a </w:t>
            </w:r>
            <w:proofErr w:type="gramStart"/>
            <w:r w:rsidRPr="00167380">
              <w:rPr>
                <w:szCs w:val="22"/>
              </w:rPr>
              <w:t>long term</w:t>
            </w:r>
            <w:proofErr w:type="gramEnd"/>
            <w:r w:rsidRPr="00167380">
              <w:rPr>
                <w:szCs w:val="22"/>
              </w:rPr>
              <w:t xml:space="preserve"> health condition or disability.</w:t>
            </w:r>
          </w:p>
          <w:p w14:paraId="2F00DA73" w14:textId="77777777" w:rsidR="00167380" w:rsidRDefault="00167380" w:rsidP="00167380">
            <w:pPr>
              <w:pStyle w:val="BodyText1"/>
              <w:rPr>
                <w:szCs w:val="22"/>
              </w:rPr>
            </w:pPr>
            <w:r>
              <w:rPr>
                <w:szCs w:val="22"/>
              </w:rPr>
              <w:t>Mobility 69%</w:t>
            </w:r>
          </w:p>
          <w:p w14:paraId="4EC94511" w14:textId="77777777" w:rsidR="00167380" w:rsidRDefault="00167380" w:rsidP="00167380">
            <w:pPr>
              <w:pStyle w:val="BodyText1"/>
              <w:rPr>
                <w:szCs w:val="22"/>
              </w:rPr>
            </w:pPr>
            <w:r>
              <w:rPr>
                <w:szCs w:val="22"/>
              </w:rPr>
              <w:t>Sensory 10%</w:t>
            </w:r>
          </w:p>
          <w:p w14:paraId="1A6B8E78" w14:textId="77777777" w:rsidR="00167380" w:rsidRDefault="00167380" w:rsidP="00167380">
            <w:pPr>
              <w:pStyle w:val="BodyText1"/>
              <w:rPr>
                <w:szCs w:val="22"/>
              </w:rPr>
            </w:pPr>
            <w:r>
              <w:rPr>
                <w:szCs w:val="22"/>
              </w:rPr>
              <w:t>Mental Health 9%</w:t>
            </w:r>
          </w:p>
          <w:p w14:paraId="2B455DA6" w14:textId="77777777" w:rsidR="00167380" w:rsidRDefault="00167380" w:rsidP="00167380">
            <w:pPr>
              <w:pStyle w:val="BodyText1"/>
              <w:rPr>
                <w:szCs w:val="22"/>
              </w:rPr>
            </w:pPr>
            <w:r>
              <w:rPr>
                <w:szCs w:val="22"/>
              </w:rPr>
              <w:t>Learning 2%</w:t>
            </w:r>
          </w:p>
          <w:p w14:paraId="1F266ACB" w14:textId="5A302756" w:rsidR="00344321" w:rsidRPr="000D1C54" w:rsidRDefault="00167380" w:rsidP="00344321">
            <w:pPr>
              <w:pStyle w:val="BodyText1"/>
              <w:rPr>
                <w:szCs w:val="22"/>
              </w:rPr>
            </w:pPr>
            <w:proofErr w:type="gramStart"/>
            <w:r>
              <w:rPr>
                <w:szCs w:val="22"/>
              </w:rPr>
              <w:t>Other</w:t>
            </w:r>
            <w:proofErr w:type="gramEnd"/>
            <w:r>
              <w:rPr>
                <w:szCs w:val="22"/>
              </w:rPr>
              <w:t xml:space="preserve"> 10%</w:t>
            </w:r>
          </w:p>
        </w:tc>
        <w:tc>
          <w:tcPr>
            <w:tcW w:w="3780" w:type="dxa"/>
            <w:shd w:val="clear" w:color="auto" w:fill="FFFFFF"/>
          </w:tcPr>
          <w:p w14:paraId="0D8E7787" w14:textId="77777777" w:rsidR="0008314D" w:rsidRPr="00EA1E1E" w:rsidRDefault="0008314D" w:rsidP="00570BEF">
            <w:pPr>
              <w:spacing w:line="240" w:lineRule="auto"/>
              <w:rPr>
                <w:rFonts w:cs="Arial"/>
                <w:szCs w:val="22"/>
                <w:u w:val="single"/>
              </w:rPr>
            </w:pPr>
            <w:r w:rsidRPr="00EA1E1E">
              <w:rPr>
                <w:u w:val="single"/>
              </w:rPr>
              <w:lastRenderedPageBreak/>
              <w:t>Access to the policy online</w:t>
            </w:r>
          </w:p>
          <w:p w14:paraId="2BFFE16D" w14:textId="77777777" w:rsidR="004A1ED7" w:rsidRPr="002C5CE8" w:rsidRDefault="004A1ED7" w:rsidP="00570BEF">
            <w:pPr>
              <w:spacing w:line="240" w:lineRule="auto"/>
              <w:rPr>
                <w:rFonts w:cs="Arial"/>
                <w:szCs w:val="22"/>
              </w:rPr>
            </w:pPr>
            <w:r>
              <w:rPr>
                <w:rFonts w:cs="Arial"/>
                <w:szCs w:val="22"/>
              </w:rPr>
              <w:t xml:space="preserve">Of the list of disabilities outlined in the 2011 Census, those with visual impairment </w:t>
            </w:r>
            <w:r w:rsidR="002C5CE8">
              <w:rPr>
                <w:rFonts w:cs="Arial"/>
                <w:szCs w:val="22"/>
              </w:rPr>
              <w:t xml:space="preserve">or learning difficulties </w:t>
            </w:r>
            <w:r>
              <w:rPr>
                <w:rFonts w:cs="Arial"/>
                <w:szCs w:val="22"/>
              </w:rPr>
              <w:t>are likely to be those most affected by online access t</w:t>
            </w:r>
            <w:r w:rsidR="002C5CE8">
              <w:rPr>
                <w:rFonts w:cs="Arial"/>
                <w:szCs w:val="22"/>
              </w:rPr>
              <w:t>o</w:t>
            </w:r>
            <w:r>
              <w:rPr>
                <w:rFonts w:cs="Arial"/>
                <w:szCs w:val="22"/>
              </w:rPr>
              <w:t xml:space="preserve"> the policy. There is a possibility this group will have no access to online systems, or applications to allow them </w:t>
            </w:r>
            <w:proofErr w:type="gramStart"/>
            <w:r>
              <w:rPr>
                <w:rFonts w:cs="Arial"/>
                <w:szCs w:val="22"/>
              </w:rPr>
              <w:t>utilize</w:t>
            </w:r>
            <w:proofErr w:type="gramEnd"/>
            <w:r>
              <w:rPr>
                <w:rFonts w:cs="Arial"/>
                <w:szCs w:val="22"/>
              </w:rPr>
              <w:t xml:space="preserve"> digital content.</w:t>
            </w:r>
          </w:p>
          <w:p w14:paraId="1277D7FC" w14:textId="6367700A" w:rsidR="004A1ED7" w:rsidRPr="004A1ED7" w:rsidRDefault="004A1ED7" w:rsidP="004A1ED7">
            <w:pPr>
              <w:pStyle w:val="BodyText1"/>
              <w:rPr>
                <w:u w:val="single"/>
              </w:rPr>
            </w:pPr>
          </w:p>
          <w:p w14:paraId="4C1A30A1" w14:textId="154C3A82" w:rsidR="005C6731" w:rsidRDefault="004A1ED7" w:rsidP="00570BEF">
            <w:pPr>
              <w:spacing w:line="240" w:lineRule="auto"/>
            </w:pPr>
            <w:r>
              <w:t xml:space="preserve">The main users of this policy will be NP staff and it is therefore not anticipated that </w:t>
            </w:r>
            <w:proofErr w:type="gramStart"/>
            <w:r w:rsidR="00447133">
              <w:t>the majority of</w:t>
            </w:r>
            <w:proofErr w:type="gramEnd"/>
            <w:r w:rsidR="00447133">
              <w:t xml:space="preserve"> staff </w:t>
            </w:r>
            <w:r>
              <w:t>will</w:t>
            </w:r>
            <w:r w:rsidR="00447133">
              <w:t xml:space="preserve"> be</w:t>
            </w:r>
            <w:r>
              <w:t xml:space="preserve"> unduly impact</w:t>
            </w:r>
            <w:r w:rsidR="005C6731">
              <w:t>ed through its use.</w:t>
            </w:r>
          </w:p>
          <w:p w14:paraId="1AA599AB" w14:textId="714C7597" w:rsidR="004A1ED7" w:rsidRDefault="005C6731" w:rsidP="00570BEF">
            <w:pPr>
              <w:spacing w:line="240" w:lineRule="auto"/>
            </w:pPr>
            <w:r>
              <w:t xml:space="preserve">Consideration </w:t>
            </w:r>
            <w:r w:rsidR="00DC4569">
              <w:t xml:space="preserve">will require to be given to those staff who </w:t>
            </w:r>
            <w:r w:rsidR="00EA0432">
              <w:t>experience</w:t>
            </w:r>
            <w:r w:rsidR="00DC4569">
              <w:t xml:space="preserve"> </w:t>
            </w:r>
            <w:r w:rsidR="007102C0">
              <w:t xml:space="preserve">Visual </w:t>
            </w:r>
            <w:r w:rsidR="005023D5">
              <w:t xml:space="preserve">Impairment or </w:t>
            </w:r>
            <w:proofErr w:type="gramStart"/>
            <w:r w:rsidR="00963FB2">
              <w:t xml:space="preserve">Dyslexia </w:t>
            </w:r>
            <w:r>
              <w:t>.</w:t>
            </w:r>
            <w:proofErr w:type="gramEnd"/>
          </w:p>
          <w:p w14:paraId="6BF9BA5A" w14:textId="77777777" w:rsidR="005C6731" w:rsidRDefault="005C6731" w:rsidP="005C6731">
            <w:pPr>
              <w:pStyle w:val="BodyText1"/>
            </w:pPr>
          </w:p>
          <w:p w14:paraId="2C1EBCA1" w14:textId="2E2E2A00" w:rsidR="00344321" w:rsidRDefault="00344321" w:rsidP="00570BEF">
            <w:pPr>
              <w:spacing w:line="240" w:lineRule="auto"/>
              <w:rPr>
                <w:u w:val="single"/>
              </w:rPr>
            </w:pPr>
            <w:r w:rsidRPr="00EA1E1E">
              <w:rPr>
                <w:u w:val="single"/>
              </w:rPr>
              <w:t>A</w:t>
            </w:r>
            <w:r>
              <w:rPr>
                <w:u w:val="single"/>
              </w:rPr>
              <w:t>pplication of p</w:t>
            </w:r>
            <w:r w:rsidRPr="00EA1E1E">
              <w:rPr>
                <w:u w:val="single"/>
              </w:rPr>
              <w:t>olicy</w:t>
            </w:r>
            <w:r>
              <w:rPr>
                <w:u w:val="single"/>
              </w:rPr>
              <w:t>.</w:t>
            </w:r>
          </w:p>
          <w:p w14:paraId="31D4309D" w14:textId="6DDA51B9" w:rsidR="00344321" w:rsidRPr="00344321" w:rsidRDefault="00344321" w:rsidP="00344321">
            <w:pPr>
              <w:pStyle w:val="BodyText1"/>
            </w:pPr>
            <w:r>
              <w:lastRenderedPageBreak/>
              <w:t>The inability of an individual to hear</w:t>
            </w:r>
            <w:r w:rsidR="00D135C4">
              <w:t>,</w:t>
            </w:r>
            <w:r>
              <w:t xml:space="preserve"> comprehend </w:t>
            </w:r>
            <w:r w:rsidR="00D135C4">
              <w:t xml:space="preserve">or process </w:t>
            </w:r>
            <w:r>
              <w:t xml:space="preserve">the information being shared with those </w:t>
            </w:r>
            <w:r w:rsidR="00484EF3">
              <w:t>who</w:t>
            </w:r>
            <w:r>
              <w:t xml:space="preserve"> have allegedly contravened legislation</w:t>
            </w:r>
            <w:r w:rsidR="00D135C4">
              <w:t>.</w:t>
            </w:r>
          </w:p>
          <w:p w14:paraId="2289F54A" w14:textId="77777777" w:rsidR="00344321" w:rsidRDefault="00344321" w:rsidP="00344321">
            <w:pPr>
              <w:pStyle w:val="BodyText1"/>
            </w:pPr>
          </w:p>
          <w:p w14:paraId="5DDF23B3" w14:textId="77777777" w:rsidR="00344321" w:rsidRPr="00344321" w:rsidRDefault="00344321" w:rsidP="00344321">
            <w:pPr>
              <w:pStyle w:val="BodyText1"/>
            </w:pPr>
          </w:p>
          <w:p w14:paraId="2A7D1F24" w14:textId="77777777" w:rsidR="00344321" w:rsidRDefault="00344321" w:rsidP="005C6731">
            <w:pPr>
              <w:pStyle w:val="BodyText1"/>
            </w:pPr>
          </w:p>
          <w:p w14:paraId="167639C3" w14:textId="77777777" w:rsidR="00344321" w:rsidRPr="005C6731" w:rsidRDefault="00344321" w:rsidP="005C6731">
            <w:pPr>
              <w:pStyle w:val="BodyText1"/>
            </w:pPr>
          </w:p>
          <w:p w14:paraId="5E04F4A9" w14:textId="77777777" w:rsidR="004A1ED7" w:rsidRDefault="004A1ED7" w:rsidP="002C5CE8">
            <w:pPr>
              <w:spacing w:line="240" w:lineRule="auto"/>
              <w:ind w:left="360"/>
              <w:rPr>
                <w:rFonts w:cs="Arial"/>
                <w:szCs w:val="22"/>
              </w:rPr>
            </w:pPr>
          </w:p>
          <w:p w14:paraId="58928E84" w14:textId="77777777" w:rsidR="00EE6A56" w:rsidRPr="00EE6A56" w:rsidRDefault="00664F37" w:rsidP="003B395B">
            <w:pPr>
              <w:rPr>
                <w:rFonts w:cs="Arial"/>
                <w:szCs w:val="22"/>
              </w:rPr>
            </w:pPr>
            <w:r>
              <w:t xml:space="preserve"> </w:t>
            </w:r>
          </w:p>
        </w:tc>
        <w:tc>
          <w:tcPr>
            <w:tcW w:w="3780" w:type="dxa"/>
            <w:shd w:val="clear" w:color="auto" w:fill="FFFFFF"/>
          </w:tcPr>
          <w:p w14:paraId="09724835" w14:textId="02D4241C" w:rsidR="00492920" w:rsidRDefault="00492920" w:rsidP="00570BEF">
            <w:pPr>
              <w:pStyle w:val="BodyText1"/>
              <w:spacing w:line="240" w:lineRule="auto"/>
              <w:rPr>
                <w:rFonts w:cs="Arial"/>
                <w:szCs w:val="22"/>
              </w:rPr>
            </w:pPr>
            <w:r>
              <w:lastRenderedPageBreak/>
              <w:t xml:space="preserve">Ensure that there are alternative mechanisms, e.g. hard copies that can be made available to allow members of the public to access the Policy </w:t>
            </w:r>
            <w:r w:rsidR="00D135C4">
              <w:t>and the legislation available to staff</w:t>
            </w:r>
            <w:r w:rsidR="00190B59">
              <w:t>,</w:t>
            </w:r>
            <w:r>
              <w:t xml:space="preserve"> </w:t>
            </w:r>
            <w:r w:rsidR="00D135C4">
              <w:t xml:space="preserve">on </w:t>
            </w:r>
            <w:r>
              <w:t>request other than online if required.</w:t>
            </w:r>
          </w:p>
          <w:p w14:paraId="0048BC1A" w14:textId="0D74C0C5" w:rsidR="004A1ED7" w:rsidRDefault="00E66C37" w:rsidP="00570BEF">
            <w:pPr>
              <w:pStyle w:val="BodyText1"/>
              <w:spacing w:line="240" w:lineRule="auto"/>
              <w:rPr>
                <w:rFonts w:cs="Arial"/>
                <w:szCs w:val="22"/>
              </w:rPr>
            </w:pPr>
            <w:r w:rsidRPr="00492920">
              <w:rPr>
                <w:rFonts w:cs="Arial"/>
                <w:szCs w:val="22"/>
              </w:rPr>
              <w:t>Tailored</w:t>
            </w:r>
            <w:r w:rsidR="006B6CA3" w:rsidRPr="00492920">
              <w:rPr>
                <w:rFonts w:cs="Arial"/>
                <w:szCs w:val="22"/>
              </w:rPr>
              <w:t xml:space="preserve"> </w:t>
            </w:r>
            <w:r w:rsidR="003B395B" w:rsidRPr="00492920">
              <w:rPr>
                <w:rFonts w:cs="Arial"/>
                <w:szCs w:val="22"/>
              </w:rPr>
              <w:t xml:space="preserve">options to address the sensory challenges people face </w:t>
            </w:r>
            <w:r w:rsidR="00F522B1" w:rsidRPr="00492920">
              <w:rPr>
                <w:rFonts w:cs="Arial"/>
                <w:szCs w:val="22"/>
              </w:rPr>
              <w:t xml:space="preserve">if they require </w:t>
            </w:r>
            <w:r w:rsidR="003B395B" w:rsidRPr="00492920">
              <w:rPr>
                <w:rFonts w:cs="Arial"/>
                <w:szCs w:val="22"/>
              </w:rPr>
              <w:t xml:space="preserve">to access </w:t>
            </w:r>
            <w:r w:rsidR="00F522B1" w:rsidRPr="00492920">
              <w:rPr>
                <w:rFonts w:cs="Arial"/>
                <w:szCs w:val="22"/>
              </w:rPr>
              <w:t xml:space="preserve">the policy </w:t>
            </w:r>
            <w:r w:rsidR="00D135C4">
              <w:rPr>
                <w:rFonts w:cs="Arial"/>
                <w:szCs w:val="22"/>
              </w:rPr>
              <w:t xml:space="preserve">online </w:t>
            </w:r>
            <w:r w:rsidR="003B395B" w:rsidRPr="00492920">
              <w:rPr>
                <w:rFonts w:cs="Arial"/>
                <w:szCs w:val="22"/>
              </w:rPr>
              <w:t xml:space="preserve">should be available on request. </w:t>
            </w:r>
          </w:p>
          <w:p w14:paraId="50D13C89" w14:textId="7C155632" w:rsidR="00EA0432" w:rsidRPr="00492920" w:rsidRDefault="00EA0432" w:rsidP="00570BEF">
            <w:pPr>
              <w:pStyle w:val="BodyText1"/>
              <w:spacing w:line="240" w:lineRule="auto"/>
              <w:rPr>
                <w:rFonts w:cs="Arial"/>
                <w:szCs w:val="22"/>
              </w:rPr>
            </w:pPr>
            <w:r>
              <w:t>Staff with specific requirements will be provided with the means to engage with the policy in a manner supportive to their needs including but not limited to IT Applications or additional time to engage properly with the policy.</w:t>
            </w:r>
          </w:p>
          <w:p w14:paraId="59001D32" w14:textId="77777777" w:rsidR="00EA0432" w:rsidRDefault="00EA0432" w:rsidP="004A1ED7">
            <w:pPr>
              <w:pStyle w:val="BodyText1"/>
              <w:spacing w:line="240" w:lineRule="auto"/>
              <w:ind w:left="720"/>
              <w:rPr>
                <w:rFonts w:cs="Arial"/>
                <w:szCs w:val="22"/>
              </w:rPr>
            </w:pPr>
          </w:p>
          <w:p w14:paraId="778DC153" w14:textId="77777777" w:rsidR="00EA0432" w:rsidRDefault="00EA0432" w:rsidP="004A1ED7">
            <w:pPr>
              <w:pStyle w:val="BodyText1"/>
              <w:spacing w:line="240" w:lineRule="auto"/>
              <w:ind w:left="720"/>
              <w:rPr>
                <w:rFonts w:cs="Arial"/>
                <w:szCs w:val="22"/>
              </w:rPr>
            </w:pPr>
          </w:p>
          <w:p w14:paraId="19E4AFFB" w14:textId="77777777" w:rsidR="00EA0432" w:rsidRDefault="00EA0432" w:rsidP="004A1ED7">
            <w:pPr>
              <w:pStyle w:val="BodyText1"/>
              <w:spacing w:line="240" w:lineRule="auto"/>
              <w:ind w:left="720"/>
              <w:rPr>
                <w:rFonts w:cs="Arial"/>
                <w:szCs w:val="22"/>
              </w:rPr>
            </w:pPr>
          </w:p>
          <w:p w14:paraId="0164D052" w14:textId="404B996B" w:rsidR="004A1ED7" w:rsidRDefault="0028422C" w:rsidP="00570BEF">
            <w:pPr>
              <w:pStyle w:val="BodyText1"/>
              <w:spacing w:line="240" w:lineRule="auto"/>
              <w:rPr>
                <w:rFonts w:cs="Arial"/>
                <w:szCs w:val="22"/>
              </w:rPr>
            </w:pPr>
            <w:r>
              <w:rPr>
                <w:rFonts w:cs="Arial"/>
                <w:szCs w:val="22"/>
              </w:rPr>
              <w:lastRenderedPageBreak/>
              <w:t>Assistance</w:t>
            </w:r>
            <w:r w:rsidR="003B395B">
              <w:rPr>
                <w:rFonts w:cs="Arial"/>
                <w:szCs w:val="22"/>
              </w:rPr>
              <w:t xml:space="preserve"> should also be available to h</w:t>
            </w:r>
            <w:r w:rsidR="00F522B1">
              <w:rPr>
                <w:rFonts w:cs="Arial"/>
                <w:szCs w:val="22"/>
              </w:rPr>
              <w:t>elp in the interpretation of the legislation available to the NPA.</w:t>
            </w:r>
            <w:r w:rsidR="003B395B">
              <w:rPr>
                <w:rFonts w:cs="Arial"/>
                <w:szCs w:val="22"/>
              </w:rPr>
              <w:t xml:space="preserve"> </w:t>
            </w:r>
          </w:p>
          <w:p w14:paraId="139886FA" w14:textId="56C80068" w:rsidR="002C5CE8" w:rsidRDefault="00E10D38" w:rsidP="001A688A">
            <w:pPr>
              <w:pStyle w:val="BodyText1"/>
              <w:spacing w:line="240" w:lineRule="auto"/>
              <w:rPr>
                <w:szCs w:val="22"/>
              </w:rPr>
            </w:pPr>
            <w:r>
              <w:rPr>
                <w:szCs w:val="22"/>
              </w:rPr>
              <w:t>Training</w:t>
            </w:r>
            <w:r w:rsidR="00FE6AF2">
              <w:rPr>
                <w:szCs w:val="22"/>
              </w:rPr>
              <w:t xml:space="preserve"> will be given to the </w:t>
            </w:r>
            <w:r w:rsidR="00F522B1">
              <w:rPr>
                <w:szCs w:val="22"/>
              </w:rPr>
              <w:t xml:space="preserve">level of </w:t>
            </w:r>
            <w:r w:rsidR="00FE6AF2">
              <w:rPr>
                <w:szCs w:val="22"/>
              </w:rPr>
              <w:t>language used</w:t>
            </w:r>
            <w:r w:rsidR="00F522B1">
              <w:rPr>
                <w:szCs w:val="22"/>
              </w:rPr>
              <w:t xml:space="preserve"> as per staff training to </w:t>
            </w:r>
            <w:r>
              <w:rPr>
                <w:szCs w:val="22"/>
              </w:rPr>
              <w:t>assist</w:t>
            </w:r>
            <w:r w:rsidR="00F522B1">
              <w:rPr>
                <w:szCs w:val="22"/>
              </w:rPr>
              <w:t xml:space="preserve"> </w:t>
            </w:r>
            <w:r w:rsidR="00FE6AF2" w:rsidRPr="00FE6AF2">
              <w:rPr>
                <w:szCs w:val="22"/>
              </w:rPr>
              <w:t xml:space="preserve">anyone with Autism or a learning disability to understand what the </w:t>
            </w:r>
            <w:r w:rsidR="00492920">
              <w:rPr>
                <w:szCs w:val="22"/>
              </w:rPr>
              <w:t>policy</w:t>
            </w:r>
            <w:r w:rsidR="00F522B1">
              <w:rPr>
                <w:szCs w:val="22"/>
              </w:rPr>
              <w:t xml:space="preserve"> means</w:t>
            </w:r>
            <w:r w:rsidR="00FB4734">
              <w:rPr>
                <w:szCs w:val="22"/>
              </w:rPr>
              <w:t>.</w:t>
            </w:r>
            <w:r w:rsidR="00FE6AF2" w:rsidRPr="00FE6AF2">
              <w:rPr>
                <w:szCs w:val="22"/>
              </w:rPr>
              <w:t xml:space="preserve"> </w:t>
            </w:r>
          </w:p>
          <w:p w14:paraId="0A483DB5" w14:textId="428DBCE1" w:rsidR="00AD3663" w:rsidRPr="00E10D38" w:rsidRDefault="002C5CE8" w:rsidP="001A688A">
            <w:pPr>
              <w:pStyle w:val="BodyText1"/>
              <w:spacing w:line="240" w:lineRule="auto"/>
            </w:pPr>
            <w:r>
              <w:t xml:space="preserve">Through the application of the policies key areas </w:t>
            </w:r>
            <w:r w:rsidR="00163865">
              <w:t>of, consistency</w:t>
            </w:r>
            <w:r>
              <w:t xml:space="preserve">, transparency and professionalism of staff and the emphasis the policy places on engagement over enforcement should mean that this characteristic is not unduly affected. </w:t>
            </w:r>
          </w:p>
          <w:p w14:paraId="576143B5" w14:textId="77777777" w:rsidR="006B6CA3" w:rsidRPr="006B6CA3" w:rsidRDefault="006B6CA3" w:rsidP="003B395B"/>
        </w:tc>
      </w:tr>
      <w:tr w:rsidR="001B41DF" w:rsidRPr="00347039" w14:paraId="1421B3C2" w14:textId="77777777">
        <w:tc>
          <w:tcPr>
            <w:tcW w:w="2660" w:type="dxa"/>
            <w:shd w:val="clear" w:color="auto" w:fill="FFFFFF"/>
          </w:tcPr>
          <w:p w14:paraId="522B1E15" w14:textId="77777777" w:rsidR="001B41DF" w:rsidRPr="008D0410" w:rsidRDefault="001B41DF" w:rsidP="001B41DF">
            <w:pPr>
              <w:pStyle w:val="n"/>
              <w:numPr>
                <w:ilvl w:val="0"/>
                <w:numId w:val="0"/>
              </w:numPr>
              <w:spacing w:before="0"/>
              <w:rPr>
                <w:rFonts w:cs="Arial"/>
                <w:b/>
                <w:sz w:val="22"/>
                <w:szCs w:val="22"/>
              </w:rPr>
            </w:pPr>
            <w:r w:rsidRPr="008D0410">
              <w:rPr>
                <w:rFonts w:cs="Arial"/>
                <w:b/>
                <w:sz w:val="22"/>
                <w:szCs w:val="22"/>
              </w:rPr>
              <w:lastRenderedPageBreak/>
              <w:t xml:space="preserve">Gender reassignment </w:t>
            </w:r>
          </w:p>
        </w:tc>
        <w:tc>
          <w:tcPr>
            <w:tcW w:w="3780" w:type="dxa"/>
            <w:shd w:val="clear" w:color="auto" w:fill="FFFFFF"/>
          </w:tcPr>
          <w:p w14:paraId="47B9F904" w14:textId="318EF994" w:rsidR="001B41DF" w:rsidRPr="00B15D80" w:rsidRDefault="001B41DF" w:rsidP="001B41DF">
            <w:pPr>
              <w:rPr>
                <w:rFonts w:cs="Arial"/>
                <w:szCs w:val="22"/>
              </w:rPr>
            </w:pPr>
            <w:r w:rsidRPr="00B15D80">
              <w:rPr>
                <w:rFonts w:cs="Arial"/>
                <w:szCs w:val="22"/>
              </w:rPr>
              <w:t xml:space="preserve">In a survey run for non-binary people by the Scottish Trans Alliance in 2015, respondents were asked about language on forms. Only a tiny number of respondents felt that they were usually or always able to accurately describe their gender identity when filling in forms to access services – 4% (n 867). Conversely, 58% of respondents felt </w:t>
            </w:r>
            <w:r w:rsidRPr="00B15D80">
              <w:rPr>
                <w:rFonts w:cs="Arial"/>
                <w:szCs w:val="22"/>
              </w:rPr>
              <w:lastRenderedPageBreak/>
              <w:t>that they were never able to accurately describe their gender identity on forms.</w:t>
            </w:r>
          </w:p>
          <w:p w14:paraId="4492E213" w14:textId="77777777" w:rsidR="001B41DF" w:rsidRPr="00B15D80" w:rsidRDefault="001B41DF" w:rsidP="001B41DF">
            <w:pPr>
              <w:rPr>
                <w:rFonts w:cs="Arial"/>
                <w:szCs w:val="22"/>
              </w:rPr>
            </w:pPr>
            <w:r w:rsidRPr="00B15D80">
              <w:rPr>
                <w:rFonts w:cs="Arial"/>
                <w:szCs w:val="22"/>
              </w:rPr>
              <w:t>The 2015 Scottish Trans Alliance survey report states 65% of respondents felt that services were never inclusive of non-binary people through their use of imagery, language and information (n 825).</w:t>
            </w:r>
          </w:p>
          <w:p w14:paraId="5B2DF607" w14:textId="191BC756" w:rsidR="001B41DF" w:rsidRPr="00B15D80" w:rsidRDefault="001B41DF" w:rsidP="001B41DF">
            <w:pPr>
              <w:spacing w:after="0" w:line="240" w:lineRule="auto"/>
              <w:rPr>
                <w:rFonts w:cs="Arial"/>
                <w:szCs w:val="22"/>
              </w:rPr>
            </w:pPr>
          </w:p>
        </w:tc>
        <w:tc>
          <w:tcPr>
            <w:tcW w:w="3780" w:type="dxa"/>
            <w:shd w:val="clear" w:color="auto" w:fill="FFFFFF"/>
          </w:tcPr>
          <w:p w14:paraId="05434554" w14:textId="77777777" w:rsidR="00B43123" w:rsidRPr="00B15D80" w:rsidRDefault="00B43123" w:rsidP="00B43123">
            <w:pPr>
              <w:pStyle w:val="BodyText1"/>
              <w:rPr>
                <w:lang w:eastAsia="en-GB"/>
              </w:rPr>
            </w:pPr>
            <w:r w:rsidRPr="00B15D80">
              <w:rPr>
                <w:rFonts w:cs="Arial"/>
                <w:szCs w:val="22"/>
                <w:lang w:eastAsia="en-GB"/>
              </w:rPr>
              <w:lastRenderedPageBreak/>
              <w:t xml:space="preserve">Potential negative impact on this characteristic </w:t>
            </w:r>
            <w:proofErr w:type="gramStart"/>
            <w:r w:rsidRPr="00B15D80">
              <w:rPr>
                <w:rFonts w:cs="Arial"/>
                <w:szCs w:val="22"/>
                <w:lang w:eastAsia="en-GB"/>
              </w:rPr>
              <w:t>through the use of</w:t>
            </w:r>
            <w:proofErr w:type="gramEnd"/>
            <w:r w:rsidRPr="00B15D80">
              <w:rPr>
                <w:rFonts w:cs="Arial"/>
                <w:szCs w:val="22"/>
                <w:lang w:eastAsia="en-GB"/>
              </w:rPr>
              <w:t xml:space="preserve"> gender specific language when creating particular applications for use by the public and staff.</w:t>
            </w:r>
          </w:p>
          <w:p w14:paraId="0D4441B0" w14:textId="6078618D" w:rsidR="001B41DF" w:rsidRPr="00B15D80" w:rsidRDefault="001B41DF" w:rsidP="001B41DF"/>
        </w:tc>
        <w:tc>
          <w:tcPr>
            <w:tcW w:w="3780" w:type="dxa"/>
            <w:shd w:val="clear" w:color="auto" w:fill="FFFFFF"/>
          </w:tcPr>
          <w:p w14:paraId="460C83D7" w14:textId="18876E5C" w:rsidR="00323D0D" w:rsidRPr="00B15D80" w:rsidRDefault="00323D0D" w:rsidP="00323D0D">
            <w:pPr>
              <w:pStyle w:val="CommentText"/>
              <w:rPr>
                <w:sz w:val="22"/>
                <w:szCs w:val="22"/>
              </w:rPr>
            </w:pPr>
            <w:r w:rsidRPr="00B15D80">
              <w:rPr>
                <w:sz w:val="22"/>
                <w:szCs w:val="22"/>
              </w:rPr>
              <w:t xml:space="preserve">To reduce the possible negative impact, non-binary pro-nouns will be used throughout the </w:t>
            </w:r>
            <w:r w:rsidR="00AC39B4" w:rsidRPr="00B15D80">
              <w:rPr>
                <w:sz w:val="22"/>
                <w:szCs w:val="22"/>
              </w:rPr>
              <w:t>review of the policy</w:t>
            </w:r>
            <w:r w:rsidRPr="00B15D80">
              <w:rPr>
                <w:rFonts w:cs="Arial"/>
                <w:sz w:val="22"/>
                <w:szCs w:val="22"/>
                <w:lang w:eastAsia="en-GB"/>
              </w:rPr>
              <w:t>.</w:t>
            </w:r>
            <w:r w:rsidRPr="00B15D80">
              <w:rPr>
                <w:sz w:val="22"/>
                <w:szCs w:val="22"/>
              </w:rPr>
              <w:t xml:space="preserve"> </w:t>
            </w:r>
          </w:p>
          <w:p w14:paraId="0E98B9EF" w14:textId="25E4653C" w:rsidR="001B41DF" w:rsidRPr="00B15D80" w:rsidRDefault="001B41DF" w:rsidP="001B41DF"/>
        </w:tc>
      </w:tr>
      <w:tr w:rsidR="001B41DF" w:rsidRPr="00347039" w14:paraId="39398DF5" w14:textId="77777777">
        <w:tc>
          <w:tcPr>
            <w:tcW w:w="2660" w:type="dxa"/>
            <w:shd w:val="clear" w:color="auto" w:fill="FFFFFF"/>
          </w:tcPr>
          <w:p w14:paraId="6BF9DA36" w14:textId="77777777" w:rsidR="001B41DF" w:rsidRPr="008D0410" w:rsidRDefault="001B41DF" w:rsidP="001B41DF">
            <w:pPr>
              <w:pStyle w:val="n"/>
              <w:numPr>
                <w:ilvl w:val="0"/>
                <w:numId w:val="0"/>
              </w:numPr>
              <w:spacing w:before="0"/>
              <w:rPr>
                <w:rFonts w:cs="Arial"/>
                <w:b/>
                <w:sz w:val="22"/>
                <w:szCs w:val="22"/>
              </w:rPr>
            </w:pPr>
            <w:r w:rsidRPr="008D0410">
              <w:rPr>
                <w:rFonts w:cs="Arial"/>
                <w:b/>
                <w:sz w:val="22"/>
                <w:szCs w:val="22"/>
              </w:rPr>
              <w:t xml:space="preserve">Race </w:t>
            </w:r>
          </w:p>
        </w:tc>
        <w:tc>
          <w:tcPr>
            <w:tcW w:w="3780" w:type="dxa"/>
            <w:shd w:val="clear" w:color="auto" w:fill="FFFFFF"/>
          </w:tcPr>
          <w:p w14:paraId="6B35476B" w14:textId="77777777" w:rsidR="001B41DF" w:rsidRPr="00EE6A56" w:rsidRDefault="001B41DF" w:rsidP="001B41DF">
            <w:pPr>
              <w:spacing w:after="0" w:line="240" w:lineRule="auto"/>
              <w:rPr>
                <w:rFonts w:cs="Arial"/>
                <w:szCs w:val="22"/>
                <w:lang w:val="en-GB"/>
              </w:rPr>
            </w:pPr>
            <w:r w:rsidRPr="00EE6A56">
              <w:rPr>
                <w:rFonts w:cs="Arial"/>
                <w:szCs w:val="22"/>
                <w:lang w:val="en-GB"/>
              </w:rPr>
              <w:t xml:space="preserve">From the 2011 Census </w:t>
            </w:r>
            <w:proofErr w:type="gramStart"/>
            <w:r w:rsidRPr="00EE6A56">
              <w:rPr>
                <w:rFonts w:cs="Arial"/>
                <w:szCs w:val="22"/>
                <w:lang w:val="en-GB"/>
              </w:rPr>
              <w:t>data;</w:t>
            </w:r>
            <w:proofErr w:type="gramEnd"/>
          </w:p>
          <w:p w14:paraId="7601D32C" w14:textId="77777777" w:rsidR="001B41DF" w:rsidRPr="00EE6A56" w:rsidRDefault="001B41DF" w:rsidP="001B41DF">
            <w:pPr>
              <w:numPr>
                <w:ilvl w:val="0"/>
                <w:numId w:val="20"/>
              </w:numPr>
              <w:spacing w:after="0" w:line="240" w:lineRule="auto"/>
              <w:rPr>
                <w:rFonts w:cs="Arial"/>
                <w:szCs w:val="22"/>
                <w:lang w:val="en-GB"/>
              </w:rPr>
            </w:pPr>
            <w:r w:rsidRPr="00EE6A56">
              <w:rPr>
                <w:rFonts w:cs="Arial"/>
                <w:szCs w:val="22"/>
                <w:lang w:val="en-GB"/>
              </w:rPr>
              <w:t xml:space="preserve">96% of the Scottish population were white. </w:t>
            </w:r>
          </w:p>
          <w:p w14:paraId="3F0F3034" w14:textId="77777777" w:rsidR="001B41DF" w:rsidRPr="00EE6A56" w:rsidRDefault="001B41DF" w:rsidP="001B41DF">
            <w:pPr>
              <w:numPr>
                <w:ilvl w:val="0"/>
                <w:numId w:val="20"/>
              </w:numPr>
              <w:spacing w:after="0" w:line="240" w:lineRule="auto"/>
              <w:rPr>
                <w:rFonts w:cs="Arial"/>
                <w:szCs w:val="22"/>
                <w:lang w:val="en-GB"/>
              </w:rPr>
            </w:pPr>
            <w:r w:rsidRPr="00EE6A56">
              <w:rPr>
                <w:rFonts w:cs="Arial"/>
                <w:szCs w:val="22"/>
                <w:lang w:val="en-GB"/>
              </w:rPr>
              <w:t>3% were Mixed or Multiple Ethnic groups.</w:t>
            </w:r>
          </w:p>
          <w:p w14:paraId="44B9000D" w14:textId="77777777" w:rsidR="001B41DF" w:rsidRDefault="001B41DF" w:rsidP="001B41DF">
            <w:pPr>
              <w:pStyle w:val="BodyText1"/>
              <w:numPr>
                <w:ilvl w:val="0"/>
                <w:numId w:val="20"/>
              </w:numPr>
              <w:spacing w:after="0" w:line="240" w:lineRule="auto"/>
              <w:rPr>
                <w:szCs w:val="22"/>
                <w:lang w:val="en-GB"/>
              </w:rPr>
            </w:pPr>
            <w:r w:rsidRPr="00EE6A56">
              <w:rPr>
                <w:szCs w:val="22"/>
                <w:lang w:val="en-GB"/>
              </w:rPr>
              <w:t>1% were African.</w:t>
            </w:r>
          </w:p>
          <w:p w14:paraId="0843BF4E" w14:textId="77777777" w:rsidR="001B41DF" w:rsidRDefault="001B41DF" w:rsidP="001B41DF">
            <w:pPr>
              <w:pStyle w:val="BodyText1"/>
              <w:spacing w:after="0" w:line="240" w:lineRule="auto"/>
              <w:rPr>
                <w:szCs w:val="22"/>
                <w:lang w:val="en-GB"/>
              </w:rPr>
            </w:pPr>
          </w:p>
          <w:p w14:paraId="2A0EB8E0" w14:textId="77777777" w:rsidR="001B41DF" w:rsidRDefault="001B41DF" w:rsidP="001B41DF">
            <w:pPr>
              <w:pStyle w:val="BodyText1"/>
              <w:rPr>
                <w:b/>
                <w:bCs/>
                <w:szCs w:val="22"/>
                <w:lang w:val="en-GB"/>
              </w:rPr>
            </w:pPr>
            <w:r w:rsidRPr="00CF3ED4">
              <w:rPr>
                <w:b/>
                <w:bCs/>
                <w:szCs w:val="22"/>
                <w:lang w:val="en-GB"/>
              </w:rPr>
              <w:t>Loch Lomond and Trossachs National Park Authority</w:t>
            </w:r>
          </w:p>
          <w:p w14:paraId="11D7434B" w14:textId="77777777" w:rsidR="001B41DF" w:rsidRPr="00CF3ED4" w:rsidRDefault="001B41DF" w:rsidP="001B41DF">
            <w:pPr>
              <w:pStyle w:val="BodyText1"/>
              <w:rPr>
                <w:szCs w:val="22"/>
                <w:lang w:val="en-GB"/>
              </w:rPr>
            </w:pPr>
            <w:r w:rsidRPr="00CF3ED4">
              <w:rPr>
                <w:szCs w:val="22"/>
                <w:lang w:val="en-GB"/>
              </w:rPr>
              <w:t>Visitor Survey 2019-20</w:t>
            </w:r>
          </w:p>
          <w:p w14:paraId="0A3D4687" w14:textId="77777777" w:rsidR="001B41DF" w:rsidRDefault="001B41DF" w:rsidP="001B41DF">
            <w:pPr>
              <w:pStyle w:val="BodyText1"/>
              <w:spacing w:after="0" w:line="240" w:lineRule="auto"/>
              <w:rPr>
                <w:szCs w:val="22"/>
                <w:lang w:val="en-GB"/>
              </w:rPr>
            </w:pPr>
            <w:r>
              <w:rPr>
                <w:szCs w:val="22"/>
                <w:lang w:val="en-GB"/>
              </w:rPr>
              <w:t>White 97%</w:t>
            </w:r>
          </w:p>
          <w:p w14:paraId="6BC757F2" w14:textId="77777777" w:rsidR="001B41DF" w:rsidRDefault="001B41DF" w:rsidP="001B41DF">
            <w:pPr>
              <w:pStyle w:val="BodyText1"/>
              <w:spacing w:after="0" w:line="240" w:lineRule="auto"/>
              <w:rPr>
                <w:szCs w:val="22"/>
                <w:lang w:val="en-GB"/>
              </w:rPr>
            </w:pPr>
            <w:r>
              <w:rPr>
                <w:szCs w:val="22"/>
                <w:lang w:val="en-GB"/>
              </w:rPr>
              <w:t>Mixed &lt; 1%</w:t>
            </w:r>
          </w:p>
          <w:p w14:paraId="5985D3E0" w14:textId="77777777" w:rsidR="001B41DF" w:rsidRDefault="001B41DF" w:rsidP="001B41DF">
            <w:pPr>
              <w:pStyle w:val="BodyText1"/>
              <w:spacing w:after="0" w:line="240" w:lineRule="auto"/>
              <w:rPr>
                <w:szCs w:val="22"/>
                <w:lang w:val="en-GB"/>
              </w:rPr>
            </w:pPr>
            <w:r>
              <w:rPr>
                <w:szCs w:val="22"/>
                <w:lang w:val="en-GB"/>
              </w:rPr>
              <w:lastRenderedPageBreak/>
              <w:t>Asian, Asian Scottish / British 1%</w:t>
            </w:r>
          </w:p>
          <w:p w14:paraId="7E1E270A" w14:textId="77777777" w:rsidR="001B41DF" w:rsidRDefault="001B41DF" w:rsidP="001B41DF">
            <w:pPr>
              <w:pStyle w:val="BodyText1"/>
              <w:spacing w:after="0" w:line="240" w:lineRule="auto"/>
              <w:rPr>
                <w:szCs w:val="22"/>
                <w:lang w:val="en-GB"/>
              </w:rPr>
            </w:pPr>
            <w:r>
              <w:rPr>
                <w:szCs w:val="22"/>
                <w:lang w:val="en-GB"/>
              </w:rPr>
              <w:t>Black, Black Scottish / British &lt;1%</w:t>
            </w:r>
          </w:p>
          <w:p w14:paraId="65CCB5B3" w14:textId="77777777" w:rsidR="001B41DF" w:rsidRDefault="001B41DF" w:rsidP="001B41DF">
            <w:pPr>
              <w:pStyle w:val="BodyText1"/>
              <w:spacing w:after="0" w:line="240" w:lineRule="auto"/>
              <w:rPr>
                <w:szCs w:val="22"/>
                <w:lang w:val="en-GB"/>
              </w:rPr>
            </w:pPr>
            <w:r>
              <w:rPr>
                <w:szCs w:val="22"/>
                <w:lang w:val="en-GB"/>
              </w:rPr>
              <w:t>Other 1%</w:t>
            </w:r>
          </w:p>
          <w:p w14:paraId="796372A9" w14:textId="77777777" w:rsidR="001B41DF" w:rsidRPr="00EE6A56" w:rsidRDefault="001B41DF" w:rsidP="001B41DF">
            <w:pPr>
              <w:pStyle w:val="BodyText1"/>
              <w:spacing w:after="0" w:line="240" w:lineRule="auto"/>
              <w:rPr>
                <w:szCs w:val="22"/>
                <w:lang w:val="en-GB"/>
              </w:rPr>
            </w:pPr>
          </w:p>
        </w:tc>
        <w:tc>
          <w:tcPr>
            <w:tcW w:w="3780" w:type="dxa"/>
            <w:shd w:val="clear" w:color="auto" w:fill="FFFFFF"/>
          </w:tcPr>
          <w:p w14:paraId="1F4D08EA" w14:textId="77777777" w:rsidR="00CE6CC1" w:rsidRPr="00EA1E1E" w:rsidRDefault="00CE6CC1" w:rsidP="00CE6CC1">
            <w:pPr>
              <w:spacing w:line="240" w:lineRule="auto"/>
              <w:rPr>
                <w:rFonts w:cs="Arial"/>
                <w:szCs w:val="22"/>
                <w:u w:val="single"/>
              </w:rPr>
            </w:pPr>
            <w:r w:rsidRPr="00EA1E1E">
              <w:rPr>
                <w:u w:val="single"/>
              </w:rPr>
              <w:lastRenderedPageBreak/>
              <w:t>Access to the policy online</w:t>
            </w:r>
          </w:p>
          <w:p w14:paraId="6D3F2F54" w14:textId="0226E650" w:rsidR="001B41DF" w:rsidRDefault="001B41DF" w:rsidP="001B41DF">
            <w:pPr>
              <w:pStyle w:val="BodyText1"/>
            </w:pPr>
            <w:r>
              <w:t>The capability to understand and engage with the policy may be reduced for those for whom English is not their first language.</w:t>
            </w:r>
          </w:p>
          <w:p w14:paraId="102795A5" w14:textId="16F67ECD" w:rsidR="001B41DF" w:rsidRPr="008C28DE" w:rsidRDefault="001B41DF" w:rsidP="001B41DF">
            <w:pPr>
              <w:spacing w:line="240" w:lineRule="auto"/>
              <w:rPr>
                <w:rFonts w:cs="Arial"/>
                <w:szCs w:val="22"/>
              </w:rPr>
            </w:pPr>
          </w:p>
        </w:tc>
        <w:tc>
          <w:tcPr>
            <w:tcW w:w="3780" w:type="dxa"/>
            <w:shd w:val="clear" w:color="auto" w:fill="FFFFFF"/>
          </w:tcPr>
          <w:p w14:paraId="277F461D" w14:textId="77777777" w:rsidR="00CE6CC1" w:rsidRDefault="00CE6CC1" w:rsidP="001B41DF">
            <w:pPr>
              <w:pStyle w:val="BodyText1"/>
            </w:pPr>
          </w:p>
          <w:p w14:paraId="1ADE3AB1" w14:textId="16431B69" w:rsidR="001B41DF" w:rsidRDefault="001B41DF" w:rsidP="001B41DF">
            <w:pPr>
              <w:pStyle w:val="BodyText1"/>
            </w:pPr>
            <w:r>
              <w:t>Advice on how to obtain translation services either online or by other means should be investigated to allow this type of assistance to be provided if required.</w:t>
            </w:r>
          </w:p>
          <w:p w14:paraId="6E985574" w14:textId="6E9BA35F" w:rsidR="001B41DF" w:rsidRDefault="001B41DF" w:rsidP="001B41DF">
            <w:pPr>
              <w:pStyle w:val="BodyText1"/>
            </w:pPr>
            <w:r>
              <w:t>Main messaging translation is available to staff for interacting with those whom English is not their first language.</w:t>
            </w:r>
          </w:p>
          <w:p w14:paraId="5A7E4568" w14:textId="77777777" w:rsidR="001B41DF" w:rsidRPr="000D28B6" w:rsidRDefault="001B41DF" w:rsidP="001B41DF">
            <w:pPr>
              <w:pStyle w:val="BodyText1"/>
            </w:pPr>
          </w:p>
        </w:tc>
      </w:tr>
      <w:tr w:rsidR="001B41DF" w:rsidRPr="00347039" w14:paraId="5AF4B9FF" w14:textId="77777777">
        <w:tc>
          <w:tcPr>
            <w:tcW w:w="2660" w:type="dxa"/>
            <w:shd w:val="clear" w:color="auto" w:fill="FFFFFF"/>
          </w:tcPr>
          <w:p w14:paraId="7007CE69" w14:textId="77777777" w:rsidR="001B41DF" w:rsidRPr="008D0410" w:rsidRDefault="001B41DF" w:rsidP="001B41DF">
            <w:pPr>
              <w:pStyle w:val="n"/>
              <w:numPr>
                <w:ilvl w:val="0"/>
                <w:numId w:val="0"/>
              </w:numPr>
              <w:spacing w:before="0"/>
              <w:rPr>
                <w:rFonts w:cs="Arial"/>
                <w:b/>
                <w:sz w:val="22"/>
                <w:szCs w:val="22"/>
              </w:rPr>
            </w:pPr>
            <w:r w:rsidRPr="008D0410">
              <w:rPr>
                <w:rFonts w:cs="Arial"/>
                <w:b/>
                <w:sz w:val="22"/>
                <w:szCs w:val="22"/>
              </w:rPr>
              <w:lastRenderedPageBreak/>
              <w:t>Religion or belief</w:t>
            </w:r>
          </w:p>
        </w:tc>
        <w:tc>
          <w:tcPr>
            <w:tcW w:w="3780" w:type="dxa"/>
            <w:shd w:val="clear" w:color="auto" w:fill="FFFFFF"/>
          </w:tcPr>
          <w:p w14:paraId="76868D40" w14:textId="77777777" w:rsidR="001B41DF" w:rsidRPr="00EE6A56" w:rsidRDefault="001B41DF" w:rsidP="001B41DF">
            <w:pPr>
              <w:spacing w:after="0" w:line="240" w:lineRule="auto"/>
              <w:rPr>
                <w:rFonts w:cs="Arial"/>
                <w:szCs w:val="22"/>
                <w:lang w:val="en-GB"/>
              </w:rPr>
            </w:pPr>
            <w:r w:rsidRPr="00EE6A56">
              <w:rPr>
                <w:rFonts w:cs="Arial"/>
                <w:szCs w:val="22"/>
                <w:lang w:val="en-GB"/>
              </w:rPr>
              <w:t xml:space="preserve">From the 2011 Census data, the following indicates the faiths of the Scottish population: </w:t>
            </w:r>
          </w:p>
          <w:p w14:paraId="22E5BAE0" w14:textId="77777777" w:rsidR="001B41DF" w:rsidRPr="00EE6A56" w:rsidRDefault="001B41DF" w:rsidP="001B41DF">
            <w:pPr>
              <w:numPr>
                <w:ilvl w:val="0"/>
                <w:numId w:val="21"/>
              </w:numPr>
              <w:spacing w:after="0" w:line="240" w:lineRule="auto"/>
              <w:rPr>
                <w:rFonts w:cs="Arial"/>
                <w:bCs/>
                <w:szCs w:val="22"/>
              </w:rPr>
            </w:pPr>
            <w:r w:rsidRPr="00EE6A56">
              <w:rPr>
                <w:rFonts w:cs="Arial"/>
                <w:bCs/>
                <w:szCs w:val="22"/>
              </w:rPr>
              <w:t>54% Christian</w:t>
            </w:r>
          </w:p>
          <w:p w14:paraId="623EE922" w14:textId="77777777" w:rsidR="001B41DF" w:rsidRPr="00EE6A56" w:rsidRDefault="001B41DF" w:rsidP="001B41DF">
            <w:pPr>
              <w:numPr>
                <w:ilvl w:val="0"/>
                <w:numId w:val="21"/>
              </w:numPr>
              <w:spacing w:after="0" w:line="240" w:lineRule="auto"/>
              <w:rPr>
                <w:rFonts w:cs="Arial"/>
                <w:bCs/>
                <w:szCs w:val="22"/>
              </w:rPr>
            </w:pPr>
            <w:r w:rsidRPr="00EE6A56">
              <w:rPr>
                <w:rFonts w:cs="Arial"/>
                <w:bCs/>
                <w:szCs w:val="22"/>
              </w:rPr>
              <w:t>1% Muslim</w:t>
            </w:r>
          </w:p>
          <w:p w14:paraId="22829B50" w14:textId="77777777" w:rsidR="001B41DF" w:rsidRPr="00EE6A56" w:rsidRDefault="001B41DF" w:rsidP="001B41DF">
            <w:pPr>
              <w:numPr>
                <w:ilvl w:val="0"/>
                <w:numId w:val="21"/>
              </w:numPr>
              <w:spacing w:after="0" w:line="240" w:lineRule="auto"/>
              <w:rPr>
                <w:rFonts w:cs="Arial"/>
                <w:bCs/>
                <w:szCs w:val="22"/>
              </w:rPr>
            </w:pPr>
            <w:r w:rsidRPr="00EE6A56">
              <w:rPr>
                <w:rFonts w:cs="Arial"/>
                <w:bCs/>
                <w:szCs w:val="22"/>
              </w:rPr>
              <w:t>37% none</w:t>
            </w:r>
          </w:p>
          <w:p w14:paraId="078D1D5D" w14:textId="77777777" w:rsidR="001B41DF" w:rsidRPr="00EE6A56" w:rsidRDefault="001B41DF" w:rsidP="001B41DF">
            <w:pPr>
              <w:numPr>
                <w:ilvl w:val="0"/>
                <w:numId w:val="21"/>
              </w:numPr>
              <w:spacing w:after="0" w:line="240" w:lineRule="auto"/>
              <w:rPr>
                <w:rFonts w:cs="Arial"/>
                <w:bCs/>
                <w:szCs w:val="22"/>
              </w:rPr>
            </w:pPr>
            <w:r w:rsidRPr="00EE6A56">
              <w:rPr>
                <w:rFonts w:cs="Arial"/>
                <w:bCs/>
                <w:szCs w:val="22"/>
              </w:rPr>
              <w:t>7% not stated</w:t>
            </w:r>
          </w:p>
        </w:tc>
        <w:tc>
          <w:tcPr>
            <w:tcW w:w="3780" w:type="dxa"/>
            <w:shd w:val="clear" w:color="auto" w:fill="FFFFFF"/>
          </w:tcPr>
          <w:p w14:paraId="4BAC2F55" w14:textId="09155979" w:rsidR="001B41DF" w:rsidRPr="00B75613" w:rsidRDefault="001B41DF" w:rsidP="001B41DF">
            <w:pPr>
              <w:rPr>
                <w:rFonts w:cs="Arial"/>
                <w:sz w:val="20"/>
                <w:szCs w:val="20"/>
              </w:rPr>
            </w:pPr>
            <w:r>
              <w:rPr>
                <w:rFonts w:cs="Arial"/>
                <w:sz w:val="20"/>
                <w:szCs w:val="20"/>
              </w:rPr>
              <w:t>N/A</w:t>
            </w:r>
          </w:p>
        </w:tc>
        <w:tc>
          <w:tcPr>
            <w:tcW w:w="3780" w:type="dxa"/>
            <w:shd w:val="clear" w:color="auto" w:fill="FFFFFF"/>
          </w:tcPr>
          <w:p w14:paraId="27A0B2B6" w14:textId="77777777" w:rsidR="001B41DF" w:rsidRPr="00B75613" w:rsidRDefault="001B41DF" w:rsidP="001B41DF">
            <w:pPr>
              <w:rPr>
                <w:rFonts w:cs="Arial"/>
                <w:sz w:val="20"/>
                <w:szCs w:val="20"/>
              </w:rPr>
            </w:pPr>
            <w:r>
              <w:rPr>
                <w:rFonts w:cs="Arial"/>
                <w:sz w:val="20"/>
                <w:szCs w:val="20"/>
              </w:rPr>
              <w:t>N/A</w:t>
            </w:r>
          </w:p>
        </w:tc>
      </w:tr>
      <w:tr w:rsidR="001B41DF" w:rsidRPr="00347039" w14:paraId="12BB2DC1" w14:textId="77777777">
        <w:tc>
          <w:tcPr>
            <w:tcW w:w="2660" w:type="dxa"/>
            <w:shd w:val="clear" w:color="auto" w:fill="FFFFFF"/>
          </w:tcPr>
          <w:p w14:paraId="79904938" w14:textId="77777777" w:rsidR="001B41DF" w:rsidRPr="008D0410" w:rsidRDefault="001B41DF" w:rsidP="001B41DF">
            <w:pPr>
              <w:pStyle w:val="n"/>
              <w:numPr>
                <w:ilvl w:val="0"/>
                <w:numId w:val="0"/>
              </w:numPr>
              <w:spacing w:before="0"/>
              <w:rPr>
                <w:rFonts w:cs="Arial"/>
                <w:b/>
                <w:sz w:val="22"/>
                <w:szCs w:val="22"/>
              </w:rPr>
            </w:pPr>
            <w:r w:rsidRPr="008D0410">
              <w:rPr>
                <w:rFonts w:cs="Arial"/>
                <w:b/>
                <w:sz w:val="22"/>
                <w:szCs w:val="22"/>
              </w:rPr>
              <w:t>Sex</w:t>
            </w:r>
          </w:p>
        </w:tc>
        <w:tc>
          <w:tcPr>
            <w:tcW w:w="3780" w:type="dxa"/>
            <w:shd w:val="clear" w:color="auto" w:fill="FFFFFF"/>
          </w:tcPr>
          <w:p w14:paraId="2F55E487" w14:textId="77777777" w:rsidR="001B41DF" w:rsidRPr="00EE6A56" w:rsidRDefault="001B41DF" w:rsidP="001B41DF">
            <w:pPr>
              <w:spacing w:after="0" w:line="240" w:lineRule="auto"/>
              <w:rPr>
                <w:rFonts w:cs="Arial"/>
                <w:szCs w:val="22"/>
              </w:rPr>
            </w:pPr>
            <w:r w:rsidRPr="00EE6A56">
              <w:rPr>
                <w:rFonts w:cs="Arial"/>
                <w:szCs w:val="22"/>
              </w:rPr>
              <w:t xml:space="preserve">From the 2011 Census data, 52% of the Scottish population were female &amp; 48% were male. </w:t>
            </w:r>
          </w:p>
        </w:tc>
        <w:tc>
          <w:tcPr>
            <w:tcW w:w="3780" w:type="dxa"/>
            <w:shd w:val="clear" w:color="auto" w:fill="FFFFFF"/>
          </w:tcPr>
          <w:p w14:paraId="0D2CDA33" w14:textId="13162FE8" w:rsidR="001B41DF" w:rsidRPr="00B75613" w:rsidRDefault="001B41DF" w:rsidP="001B41DF">
            <w:pPr>
              <w:rPr>
                <w:rFonts w:cs="Arial"/>
                <w:sz w:val="20"/>
                <w:szCs w:val="20"/>
              </w:rPr>
            </w:pPr>
            <w:r>
              <w:rPr>
                <w:rFonts w:cs="Arial"/>
                <w:sz w:val="20"/>
                <w:szCs w:val="20"/>
              </w:rPr>
              <w:t>N/A</w:t>
            </w:r>
          </w:p>
        </w:tc>
        <w:tc>
          <w:tcPr>
            <w:tcW w:w="3780" w:type="dxa"/>
            <w:shd w:val="clear" w:color="auto" w:fill="FFFFFF"/>
          </w:tcPr>
          <w:p w14:paraId="0CBB9120" w14:textId="77777777" w:rsidR="001B41DF" w:rsidRDefault="001B41DF" w:rsidP="001B41DF">
            <w:r w:rsidRPr="000965B5">
              <w:rPr>
                <w:rFonts w:cs="Arial"/>
                <w:sz w:val="20"/>
                <w:szCs w:val="20"/>
              </w:rPr>
              <w:t>N/A</w:t>
            </w:r>
          </w:p>
        </w:tc>
      </w:tr>
      <w:tr w:rsidR="001B41DF" w:rsidRPr="00347039" w14:paraId="757CA104" w14:textId="77777777">
        <w:tc>
          <w:tcPr>
            <w:tcW w:w="2660" w:type="dxa"/>
            <w:shd w:val="clear" w:color="auto" w:fill="FFFFFF"/>
          </w:tcPr>
          <w:p w14:paraId="31D6F046" w14:textId="77777777" w:rsidR="001B41DF" w:rsidRPr="008D0410" w:rsidRDefault="001B41DF" w:rsidP="001B41DF">
            <w:pPr>
              <w:pStyle w:val="n"/>
              <w:numPr>
                <w:ilvl w:val="0"/>
                <w:numId w:val="0"/>
              </w:numPr>
              <w:spacing w:before="0"/>
              <w:rPr>
                <w:rFonts w:cs="Arial"/>
                <w:b/>
                <w:sz w:val="22"/>
                <w:szCs w:val="22"/>
              </w:rPr>
            </w:pPr>
            <w:r w:rsidRPr="008D0410">
              <w:rPr>
                <w:rFonts w:cs="Arial"/>
                <w:b/>
                <w:sz w:val="22"/>
                <w:szCs w:val="22"/>
              </w:rPr>
              <w:t>Sexual orientation</w:t>
            </w:r>
          </w:p>
        </w:tc>
        <w:tc>
          <w:tcPr>
            <w:tcW w:w="3780" w:type="dxa"/>
            <w:shd w:val="clear" w:color="auto" w:fill="FFFFFF"/>
          </w:tcPr>
          <w:p w14:paraId="1DCC78E3" w14:textId="77777777" w:rsidR="001B41DF" w:rsidRPr="00EE6A56" w:rsidRDefault="001B41DF" w:rsidP="001B41DF">
            <w:pPr>
              <w:spacing w:after="0" w:line="240" w:lineRule="auto"/>
              <w:rPr>
                <w:rFonts w:cs="Arial"/>
                <w:szCs w:val="22"/>
              </w:rPr>
            </w:pPr>
            <w:r w:rsidRPr="00EE6A56">
              <w:rPr>
                <w:szCs w:val="22"/>
              </w:rPr>
              <w:t>1.3% of adults in Scotland identify themselves as lesbian, gay or bisexual. The Scottish Household Survey 2012/13 data (aggregated) indicate that 47% of lesbian/gay/bisexual people visit the outdoors at least once a week compared to 44% of heterosexual people</w:t>
            </w:r>
          </w:p>
        </w:tc>
        <w:tc>
          <w:tcPr>
            <w:tcW w:w="3780" w:type="dxa"/>
            <w:shd w:val="clear" w:color="auto" w:fill="FFFFFF"/>
          </w:tcPr>
          <w:p w14:paraId="48464C92" w14:textId="55388C8E" w:rsidR="001B41DF" w:rsidRPr="00B75613" w:rsidRDefault="001B41DF" w:rsidP="001B41DF">
            <w:pPr>
              <w:rPr>
                <w:rFonts w:cs="Arial"/>
                <w:sz w:val="20"/>
                <w:szCs w:val="20"/>
              </w:rPr>
            </w:pPr>
            <w:r>
              <w:rPr>
                <w:rFonts w:cs="Arial"/>
                <w:sz w:val="20"/>
                <w:szCs w:val="20"/>
              </w:rPr>
              <w:t>N/A</w:t>
            </w:r>
          </w:p>
        </w:tc>
        <w:tc>
          <w:tcPr>
            <w:tcW w:w="3780" w:type="dxa"/>
            <w:shd w:val="clear" w:color="auto" w:fill="FFFFFF"/>
          </w:tcPr>
          <w:p w14:paraId="4BF4480B" w14:textId="77777777" w:rsidR="001B41DF" w:rsidRDefault="001B41DF" w:rsidP="001B41DF">
            <w:r w:rsidRPr="000965B5">
              <w:rPr>
                <w:rFonts w:cs="Arial"/>
                <w:sz w:val="20"/>
                <w:szCs w:val="20"/>
              </w:rPr>
              <w:t>N/A</w:t>
            </w:r>
          </w:p>
        </w:tc>
      </w:tr>
      <w:tr w:rsidR="001B41DF" w:rsidRPr="00347039" w14:paraId="5D6B05D6" w14:textId="77777777">
        <w:tc>
          <w:tcPr>
            <w:tcW w:w="2660" w:type="dxa"/>
            <w:shd w:val="clear" w:color="auto" w:fill="FFFFFF"/>
          </w:tcPr>
          <w:p w14:paraId="4939FA2F" w14:textId="77777777" w:rsidR="001B41DF" w:rsidRPr="008D0410" w:rsidRDefault="001B41DF" w:rsidP="001B41DF">
            <w:pPr>
              <w:pStyle w:val="n"/>
              <w:numPr>
                <w:ilvl w:val="0"/>
                <w:numId w:val="0"/>
              </w:numPr>
              <w:spacing w:before="0"/>
              <w:jc w:val="left"/>
              <w:rPr>
                <w:rFonts w:cs="Arial"/>
                <w:b/>
                <w:sz w:val="22"/>
                <w:szCs w:val="22"/>
              </w:rPr>
            </w:pPr>
            <w:r w:rsidRPr="008D0410">
              <w:rPr>
                <w:rFonts w:cs="Arial"/>
                <w:b/>
                <w:sz w:val="22"/>
                <w:szCs w:val="22"/>
              </w:rPr>
              <w:lastRenderedPageBreak/>
              <w:t>Pregnancy and maternity</w:t>
            </w:r>
          </w:p>
        </w:tc>
        <w:tc>
          <w:tcPr>
            <w:tcW w:w="3780" w:type="dxa"/>
            <w:shd w:val="clear" w:color="auto" w:fill="FFFFFF"/>
          </w:tcPr>
          <w:p w14:paraId="612631F6" w14:textId="386850A4" w:rsidR="00CB46BD" w:rsidRPr="00B15D80" w:rsidRDefault="00AC2949" w:rsidP="00CB46BD">
            <w:pPr>
              <w:pStyle w:val="n"/>
              <w:numPr>
                <w:ilvl w:val="0"/>
                <w:numId w:val="0"/>
              </w:numPr>
              <w:jc w:val="left"/>
              <w:rPr>
                <w:rFonts w:cs="Arial"/>
                <w:bCs/>
                <w:sz w:val="22"/>
                <w:szCs w:val="22"/>
              </w:rPr>
            </w:pPr>
            <w:r w:rsidRPr="00B15D80">
              <w:rPr>
                <w:rFonts w:cs="Arial"/>
                <w:bCs/>
                <w:sz w:val="22"/>
                <w:szCs w:val="22"/>
              </w:rPr>
              <w:t>W</w:t>
            </w:r>
            <w:r w:rsidR="00CB46BD" w:rsidRPr="00B15D80">
              <w:rPr>
                <w:rFonts w:cs="Arial"/>
                <w:bCs/>
                <w:sz w:val="22"/>
                <w:szCs w:val="22"/>
              </w:rPr>
              <w:t xml:space="preserve">e </w:t>
            </w:r>
            <w:r w:rsidRPr="00B15D80">
              <w:rPr>
                <w:rFonts w:cs="Arial"/>
                <w:bCs/>
                <w:sz w:val="22"/>
                <w:szCs w:val="22"/>
              </w:rPr>
              <w:t xml:space="preserve">do not have any data </w:t>
            </w:r>
            <w:r w:rsidR="00CB46BD" w:rsidRPr="00B15D80">
              <w:rPr>
                <w:rFonts w:cs="Arial"/>
                <w:bCs/>
                <w:sz w:val="22"/>
                <w:szCs w:val="22"/>
              </w:rPr>
              <w:t>about this group in the context of this project/ policy</w:t>
            </w:r>
            <w:r w:rsidRPr="00B15D80">
              <w:rPr>
                <w:rFonts w:cs="Arial"/>
                <w:bCs/>
                <w:sz w:val="22"/>
                <w:szCs w:val="22"/>
              </w:rPr>
              <w:t>.</w:t>
            </w:r>
          </w:p>
          <w:p w14:paraId="503FADEC" w14:textId="0AEA7F66" w:rsidR="001B41DF" w:rsidRPr="00B15D80" w:rsidRDefault="001B41DF" w:rsidP="001B41DF">
            <w:pPr>
              <w:spacing w:after="0" w:line="240" w:lineRule="auto"/>
              <w:jc w:val="both"/>
              <w:rPr>
                <w:rFonts w:cs="Arial"/>
                <w:szCs w:val="22"/>
              </w:rPr>
            </w:pPr>
          </w:p>
        </w:tc>
        <w:tc>
          <w:tcPr>
            <w:tcW w:w="3780" w:type="dxa"/>
            <w:shd w:val="clear" w:color="auto" w:fill="FFFFFF"/>
          </w:tcPr>
          <w:p w14:paraId="36001033" w14:textId="7575030B" w:rsidR="001B41DF" w:rsidRPr="00B75613" w:rsidRDefault="001B41DF" w:rsidP="001B41DF">
            <w:pPr>
              <w:rPr>
                <w:rFonts w:cs="Arial"/>
                <w:sz w:val="20"/>
                <w:szCs w:val="20"/>
              </w:rPr>
            </w:pPr>
            <w:r>
              <w:rPr>
                <w:rFonts w:cs="Arial"/>
                <w:sz w:val="20"/>
                <w:szCs w:val="20"/>
              </w:rPr>
              <w:t>N/A</w:t>
            </w:r>
          </w:p>
        </w:tc>
        <w:tc>
          <w:tcPr>
            <w:tcW w:w="3780" w:type="dxa"/>
            <w:shd w:val="clear" w:color="auto" w:fill="FFFFFF"/>
          </w:tcPr>
          <w:p w14:paraId="3B7A49B9" w14:textId="77777777" w:rsidR="001B41DF" w:rsidRDefault="001B41DF" w:rsidP="001B41DF">
            <w:r w:rsidRPr="000965B5">
              <w:rPr>
                <w:rFonts w:cs="Arial"/>
                <w:sz w:val="20"/>
                <w:szCs w:val="20"/>
              </w:rPr>
              <w:t>N/A</w:t>
            </w:r>
          </w:p>
        </w:tc>
      </w:tr>
      <w:tr w:rsidR="001B41DF" w:rsidRPr="00347039" w14:paraId="0EF45C4B" w14:textId="77777777">
        <w:tc>
          <w:tcPr>
            <w:tcW w:w="2660" w:type="dxa"/>
            <w:shd w:val="clear" w:color="auto" w:fill="FFFFFF"/>
          </w:tcPr>
          <w:p w14:paraId="6DCBD574" w14:textId="77777777" w:rsidR="001B41DF" w:rsidRPr="008D0410" w:rsidRDefault="001B41DF" w:rsidP="001B41DF">
            <w:pPr>
              <w:pStyle w:val="n"/>
              <w:numPr>
                <w:ilvl w:val="0"/>
                <w:numId w:val="0"/>
              </w:numPr>
              <w:spacing w:before="0"/>
              <w:rPr>
                <w:rFonts w:cs="Arial"/>
                <w:b/>
                <w:sz w:val="22"/>
                <w:szCs w:val="22"/>
              </w:rPr>
            </w:pPr>
            <w:r w:rsidRPr="008D0410">
              <w:rPr>
                <w:rFonts w:cs="Arial"/>
                <w:b/>
                <w:sz w:val="22"/>
                <w:szCs w:val="22"/>
              </w:rPr>
              <w:t>Marriage/civil partnerships</w:t>
            </w:r>
          </w:p>
        </w:tc>
        <w:tc>
          <w:tcPr>
            <w:tcW w:w="3780" w:type="dxa"/>
            <w:shd w:val="clear" w:color="auto" w:fill="FFFFFF"/>
          </w:tcPr>
          <w:p w14:paraId="0244CA46" w14:textId="77777777" w:rsidR="00AC2949" w:rsidRPr="00B15D80" w:rsidRDefault="00AC2949" w:rsidP="00AC2949">
            <w:pPr>
              <w:pStyle w:val="n"/>
              <w:numPr>
                <w:ilvl w:val="0"/>
                <w:numId w:val="0"/>
              </w:numPr>
              <w:jc w:val="left"/>
              <w:rPr>
                <w:rFonts w:cs="Arial"/>
                <w:bCs/>
                <w:sz w:val="22"/>
                <w:szCs w:val="22"/>
              </w:rPr>
            </w:pPr>
            <w:r w:rsidRPr="00B15D80">
              <w:rPr>
                <w:rFonts w:cs="Arial"/>
                <w:bCs/>
                <w:sz w:val="22"/>
                <w:szCs w:val="22"/>
              </w:rPr>
              <w:t>We do not have any data about this group in the context of this project/ policy.</w:t>
            </w:r>
          </w:p>
          <w:p w14:paraId="3FC8C6DD" w14:textId="77777777" w:rsidR="001B41DF" w:rsidRPr="00B15D80" w:rsidRDefault="001B41DF" w:rsidP="001B41DF">
            <w:pPr>
              <w:jc w:val="both"/>
              <w:rPr>
                <w:rFonts w:cs="Arial"/>
                <w:szCs w:val="22"/>
              </w:rPr>
            </w:pPr>
          </w:p>
        </w:tc>
        <w:tc>
          <w:tcPr>
            <w:tcW w:w="3780" w:type="dxa"/>
            <w:shd w:val="clear" w:color="auto" w:fill="FFFFFF"/>
          </w:tcPr>
          <w:p w14:paraId="58491592" w14:textId="2502A692" w:rsidR="001B41DF" w:rsidRPr="00FC5BC3" w:rsidRDefault="001B41DF" w:rsidP="001B41DF">
            <w:pPr>
              <w:rPr>
                <w:lang w:eastAsia="en-GB"/>
              </w:rPr>
            </w:pPr>
            <w:r>
              <w:rPr>
                <w:rFonts w:cs="Arial"/>
                <w:sz w:val="20"/>
                <w:szCs w:val="20"/>
              </w:rPr>
              <w:t>N/A</w:t>
            </w:r>
          </w:p>
        </w:tc>
        <w:tc>
          <w:tcPr>
            <w:tcW w:w="3780" w:type="dxa"/>
            <w:shd w:val="clear" w:color="auto" w:fill="FFFFFF"/>
          </w:tcPr>
          <w:p w14:paraId="06CD59A2" w14:textId="77777777" w:rsidR="001B41DF" w:rsidRDefault="001B41DF" w:rsidP="001B41DF">
            <w:r w:rsidRPr="000965B5">
              <w:rPr>
                <w:rFonts w:cs="Arial"/>
                <w:sz w:val="20"/>
                <w:szCs w:val="20"/>
              </w:rPr>
              <w:t>N/A</w:t>
            </w:r>
          </w:p>
        </w:tc>
      </w:tr>
    </w:tbl>
    <w:p w14:paraId="4F8564D0" w14:textId="77777777" w:rsidR="00460CEC" w:rsidRDefault="0010729F" w:rsidP="00780180">
      <w:pPr>
        <w:pStyle w:val="Heading2"/>
        <w:numPr>
          <w:ilvl w:val="0"/>
          <w:numId w:val="17"/>
        </w:numPr>
      </w:pPr>
      <w:r>
        <w:t xml:space="preserve">Who will be consulted internally </w:t>
      </w:r>
      <w:r w:rsidR="00344DCD">
        <w:t xml:space="preserve">or externally </w:t>
      </w:r>
      <w:r w:rsidR="005E18BA">
        <w:t xml:space="preserve">on this </w:t>
      </w:r>
      <w:proofErr w:type="spellStart"/>
      <w:r w:rsidR="005E18BA">
        <w:t>Eq</w:t>
      </w:r>
      <w:r>
        <w:t>IA</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1"/>
      </w:tblGrid>
      <w:tr w:rsidR="0010729F" w14:paraId="0BBA9B53" w14:textId="77777777" w:rsidTr="00B75613">
        <w:tc>
          <w:tcPr>
            <w:tcW w:w="14057" w:type="dxa"/>
          </w:tcPr>
          <w:p w14:paraId="52B70219" w14:textId="77777777" w:rsidR="000C6862" w:rsidRDefault="005E18BA" w:rsidP="000C6862">
            <w:r>
              <w:rPr>
                <w:sz w:val="20"/>
                <w:szCs w:val="20"/>
              </w:rPr>
              <w:br/>
            </w:r>
            <w:r w:rsidR="000C6862">
              <w:t>Relevant Managers</w:t>
            </w:r>
          </w:p>
          <w:p w14:paraId="30A3CDD6" w14:textId="330DC2AF" w:rsidR="00564138" w:rsidRDefault="000C6862" w:rsidP="00E10D38">
            <w:pPr>
              <w:pStyle w:val="BodyText1"/>
            </w:pPr>
            <w:r>
              <w:t>NPA Legal Team</w:t>
            </w:r>
          </w:p>
          <w:p w14:paraId="4B7968E9" w14:textId="325CE401" w:rsidR="0010729F" w:rsidRPr="00D15D1B" w:rsidRDefault="0028422C" w:rsidP="00D15D1B">
            <w:pPr>
              <w:rPr>
                <w:rFonts w:cs="Arial"/>
                <w:szCs w:val="22"/>
              </w:rPr>
            </w:pPr>
            <w:r>
              <w:t>Park for all group</w:t>
            </w:r>
          </w:p>
        </w:tc>
      </w:tr>
    </w:tbl>
    <w:p w14:paraId="10E5691E" w14:textId="77777777" w:rsidR="00460CEC" w:rsidRDefault="00AD4192" w:rsidP="00780180">
      <w:pPr>
        <w:pStyle w:val="Heading2"/>
        <w:numPr>
          <w:ilvl w:val="0"/>
          <w:numId w:val="17"/>
        </w:numPr>
      </w:pPr>
      <w:r w:rsidRPr="00AD4192">
        <w:t xml:space="preserve">What recommended steps should we take to improve the </w:t>
      </w:r>
      <w:r w:rsidR="007D1ABC">
        <w:t>project/</w:t>
      </w:r>
      <w:r w:rsidRPr="00AD4192">
        <w:t>policy and monitor its equality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49"/>
        <w:gridCol w:w="4869"/>
        <w:gridCol w:w="1698"/>
        <w:gridCol w:w="2015"/>
      </w:tblGrid>
      <w:tr w:rsidR="007D1ABC" w14:paraId="61AAFECE" w14:textId="77777777" w:rsidTr="00B75613">
        <w:tc>
          <w:tcPr>
            <w:tcW w:w="5353" w:type="dxa"/>
            <w:shd w:val="clear" w:color="auto" w:fill="FFFFFF"/>
          </w:tcPr>
          <w:p w14:paraId="4BFE4C96" w14:textId="77777777" w:rsidR="007D1ABC" w:rsidRDefault="007D1ABC" w:rsidP="000A75A5">
            <w:pPr>
              <w:pStyle w:val="BodyText1"/>
            </w:pPr>
            <w:r>
              <w:t>Action</w:t>
            </w:r>
          </w:p>
        </w:tc>
        <w:tc>
          <w:tcPr>
            <w:tcW w:w="4961" w:type="dxa"/>
            <w:shd w:val="clear" w:color="auto" w:fill="FFFFFF"/>
          </w:tcPr>
          <w:p w14:paraId="75CCE22B" w14:textId="77777777" w:rsidR="007D1ABC" w:rsidRDefault="007D1ABC" w:rsidP="007D1ABC">
            <w:pPr>
              <w:pStyle w:val="BodyText1"/>
            </w:pPr>
            <w:r>
              <w:t>Outcome</w:t>
            </w:r>
          </w:p>
        </w:tc>
        <w:tc>
          <w:tcPr>
            <w:tcW w:w="1701" w:type="dxa"/>
            <w:shd w:val="clear" w:color="auto" w:fill="FFFFFF"/>
          </w:tcPr>
          <w:p w14:paraId="500D76FE" w14:textId="77777777" w:rsidR="007D1ABC" w:rsidRDefault="007D1ABC" w:rsidP="000A75A5">
            <w:pPr>
              <w:pStyle w:val="BodyText1"/>
            </w:pPr>
            <w:r>
              <w:t>Responsibility</w:t>
            </w:r>
          </w:p>
        </w:tc>
        <w:tc>
          <w:tcPr>
            <w:tcW w:w="2042" w:type="dxa"/>
            <w:shd w:val="clear" w:color="auto" w:fill="FFFFFF"/>
          </w:tcPr>
          <w:p w14:paraId="2F9AD35A" w14:textId="77777777" w:rsidR="007D1ABC" w:rsidRDefault="007D1ABC" w:rsidP="000A75A5">
            <w:pPr>
              <w:pStyle w:val="BodyText1"/>
            </w:pPr>
            <w:r>
              <w:t>Timeline</w:t>
            </w:r>
          </w:p>
        </w:tc>
      </w:tr>
      <w:tr w:rsidR="007D1ABC" w14:paraId="22516DFA" w14:textId="77777777" w:rsidTr="00B75613">
        <w:tc>
          <w:tcPr>
            <w:tcW w:w="5353" w:type="dxa"/>
            <w:shd w:val="clear" w:color="auto" w:fill="FFFFFF"/>
          </w:tcPr>
          <w:p w14:paraId="77FE203D" w14:textId="77777777" w:rsidR="007D1ABC" w:rsidRDefault="003B2C5D" w:rsidP="00D15D1B">
            <w:pPr>
              <w:pStyle w:val="BodyText1"/>
            </w:pPr>
            <w:r>
              <w:lastRenderedPageBreak/>
              <w:t xml:space="preserve">Review </w:t>
            </w:r>
            <w:r w:rsidR="00D15D1B">
              <w:t>incidents where the identified characteristics have been impacted unduly by this policy.</w:t>
            </w:r>
          </w:p>
        </w:tc>
        <w:tc>
          <w:tcPr>
            <w:tcW w:w="4961" w:type="dxa"/>
            <w:shd w:val="clear" w:color="auto" w:fill="FFFFFF"/>
          </w:tcPr>
          <w:p w14:paraId="6B27CA94" w14:textId="64B09DD1" w:rsidR="007D1ABC" w:rsidRDefault="008C28DE" w:rsidP="000A75A5">
            <w:pPr>
              <w:pStyle w:val="BodyText1"/>
            </w:pPr>
            <w:r>
              <w:t xml:space="preserve">Establish a log to record specific incidents that </w:t>
            </w:r>
            <w:r w:rsidR="001113F1">
              <w:t xml:space="preserve">occur </w:t>
            </w:r>
            <w:r w:rsidR="00E75008">
              <w:t>which</w:t>
            </w:r>
            <w:r w:rsidR="001113F1">
              <w:t xml:space="preserve"> fall outside </w:t>
            </w:r>
            <w:r w:rsidR="00945E1D">
              <w:t xml:space="preserve">the impact of the mitigation measures already identified </w:t>
            </w:r>
            <w:r w:rsidR="00EF14BF">
              <w:t xml:space="preserve">which </w:t>
            </w:r>
            <w:r>
              <w:t xml:space="preserve">can be reviewed by anyone in the future carrying out </w:t>
            </w:r>
            <w:r w:rsidR="001309F6">
              <w:t xml:space="preserve">or updating this </w:t>
            </w:r>
            <w:r w:rsidR="00037E2E">
              <w:t xml:space="preserve">or any other </w:t>
            </w:r>
            <w:proofErr w:type="spellStart"/>
            <w:r>
              <w:t>EqIA</w:t>
            </w:r>
            <w:proofErr w:type="spellEnd"/>
            <w:r>
              <w:t>.</w:t>
            </w:r>
          </w:p>
        </w:tc>
        <w:tc>
          <w:tcPr>
            <w:tcW w:w="1701" w:type="dxa"/>
            <w:shd w:val="clear" w:color="auto" w:fill="FFFFFF"/>
          </w:tcPr>
          <w:p w14:paraId="70938ADF" w14:textId="5C0156FD" w:rsidR="007D1ABC" w:rsidRDefault="006C55D5" w:rsidP="000A75A5">
            <w:pPr>
              <w:pStyle w:val="BodyText1"/>
            </w:pPr>
            <w:r>
              <w:t>Visitor Management Advisor</w:t>
            </w:r>
          </w:p>
        </w:tc>
        <w:tc>
          <w:tcPr>
            <w:tcW w:w="2042" w:type="dxa"/>
            <w:shd w:val="clear" w:color="auto" w:fill="FFFFFF"/>
          </w:tcPr>
          <w:p w14:paraId="674377A2" w14:textId="34A21630" w:rsidR="007D1ABC" w:rsidRDefault="008C28DE" w:rsidP="000A75A5">
            <w:pPr>
              <w:pStyle w:val="BodyText1"/>
            </w:pPr>
            <w:r>
              <w:t>J</w:t>
            </w:r>
            <w:r w:rsidR="00606427">
              <w:t>u</w:t>
            </w:r>
            <w:r w:rsidR="00801C4D">
              <w:t>ly</w:t>
            </w:r>
            <w:r>
              <w:t xml:space="preserve"> 2024</w:t>
            </w:r>
          </w:p>
        </w:tc>
      </w:tr>
      <w:tr w:rsidR="007D1ABC" w14:paraId="26C9990B" w14:textId="77777777" w:rsidTr="00B75613">
        <w:tc>
          <w:tcPr>
            <w:tcW w:w="5353" w:type="dxa"/>
            <w:shd w:val="clear" w:color="auto" w:fill="FFFFFF"/>
          </w:tcPr>
          <w:p w14:paraId="28F4C76B" w14:textId="186ADFF0" w:rsidR="007D1ABC" w:rsidRDefault="008C28DE" w:rsidP="00FC5BC3">
            <w:pPr>
              <w:pStyle w:val="BodyText1"/>
            </w:pPr>
            <w:r>
              <w:rPr>
                <w:szCs w:val="22"/>
              </w:rPr>
              <w:t>M</w:t>
            </w:r>
            <w:r w:rsidR="00750D8D">
              <w:rPr>
                <w:szCs w:val="22"/>
              </w:rPr>
              <w:t>ak</w:t>
            </w:r>
            <w:r>
              <w:rPr>
                <w:szCs w:val="22"/>
              </w:rPr>
              <w:t>e</w:t>
            </w:r>
            <w:r w:rsidR="00750D8D">
              <w:rPr>
                <w:szCs w:val="22"/>
              </w:rPr>
              <w:t xml:space="preserve"> available </w:t>
            </w:r>
            <w:r>
              <w:rPr>
                <w:szCs w:val="22"/>
              </w:rPr>
              <w:t xml:space="preserve">information on </w:t>
            </w:r>
            <w:r w:rsidR="00FC5BC3">
              <w:rPr>
                <w:szCs w:val="22"/>
              </w:rPr>
              <w:t>translat</w:t>
            </w:r>
            <w:r>
              <w:rPr>
                <w:szCs w:val="22"/>
              </w:rPr>
              <w:t>ion</w:t>
            </w:r>
            <w:r w:rsidR="00750D8D">
              <w:rPr>
                <w:szCs w:val="22"/>
              </w:rPr>
              <w:t xml:space="preserve"> </w:t>
            </w:r>
            <w:r>
              <w:rPr>
                <w:szCs w:val="22"/>
              </w:rPr>
              <w:t>applications</w:t>
            </w:r>
            <w:r w:rsidR="00801C4D">
              <w:rPr>
                <w:szCs w:val="22"/>
              </w:rPr>
              <w:t xml:space="preserve"> to staff and through them members of the public</w:t>
            </w:r>
            <w:r>
              <w:rPr>
                <w:szCs w:val="22"/>
              </w:rPr>
              <w:t>.</w:t>
            </w:r>
            <w:r w:rsidR="00750D8D">
              <w:rPr>
                <w:szCs w:val="22"/>
              </w:rPr>
              <w:t xml:space="preserve"> </w:t>
            </w:r>
          </w:p>
        </w:tc>
        <w:tc>
          <w:tcPr>
            <w:tcW w:w="4961" w:type="dxa"/>
            <w:shd w:val="clear" w:color="auto" w:fill="FFFFFF"/>
          </w:tcPr>
          <w:p w14:paraId="5193252B" w14:textId="6A24282E" w:rsidR="007D1ABC" w:rsidRDefault="008C28DE" w:rsidP="000A75A5">
            <w:pPr>
              <w:pStyle w:val="BodyText1"/>
            </w:pPr>
            <w:r>
              <w:t xml:space="preserve">This should be a standard offer for anyone who wishes to engage with </w:t>
            </w:r>
            <w:r w:rsidR="00606427">
              <w:t>th</w:t>
            </w:r>
            <w:r>
              <w:t>e NPA.</w:t>
            </w:r>
          </w:p>
        </w:tc>
        <w:tc>
          <w:tcPr>
            <w:tcW w:w="1701" w:type="dxa"/>
            <w:shd w:val="clear" w:color="auto" w:fill="FFFFFF"/>
          </w:tcPr>
          <w:p w14:paraId="1505BF89" w14:textId="00B9EE9C" w:rsidR="007D1ABC" w:rsidRDefault="006C55D5" w:rsidP="000A75A5">
            <w:pPr>
              <w:pStyle w:val="BodyText1"/>
            </w:pPr>
            <w:r>
              <w:t>Comms</w:t>
            </w:r>
          </w:p>
        </w:tc>
        <w:tc>
          <w:tcPr>
            <w:tcW w:w="2042" w:type="dxa"/>
            <w:shd w:val="clear" w:color="auto" w:fill="FFFFFF"/>
          </w:tcPr>
          <w:p w14:paraId="1891A73D" w14:textId="11F2CA73" w:rsidR="007D1ABC" w:rsidRDefault="008C28DE" w:rsidP="000A75A5">
            <w:pPr>
              <w:pStyle w:val="BodyText1"/>
            </w:pPr>
            <w:r>
              <w:t>J</w:t>
            </w:r>
            <w:r w:rsidR="00606427">
              <w:t>u</w:t>
            </w:r>
            <w:r w:rsidR="00801C4D">
              <w:t>ly</w:t>
            </w:r>
            <w:r>
              <w:t xml:space="preserve"> 2024</w:t>
            </w:r>
          </w:p>
        </w:tc>
      </w:tr>
      <w:tr w:rsidR="008C28DE" w14:paraId="7F13D5EF" w14:textId="77777777" w:rsidTr="00B75613">
        <w:tc>
          <w:tcPr>
            <w:tcW w:w="5353" w:type="dxa"/>
            <w:shd w:val="clear" w:color="auto" w:fill="FFFFFF"/>
          </w:tcPr>
          <w:p w14:paraId="1F00F238" w14:textId="77777777" w:rsidR="008C28DE" w:rsidRDefault="008C28DE" w:rsidP="00FC5BC3">
            <w:pPr>
              <w:pStyle w:val="BodyText1"/>
              <w:rPr>
                <w:szCs w:val="22"/>
              </w:rPr>
            </w:pPr>
            <w:r>
              <w:rPr>
                <w:szCs w:val="22"/>
              </w:rPr>
              <w:t>Make available information on available applications for visually impaired members of the public.</w:t>
            </w:r>
          </w:p>
        </w:tc>
        <w:tc>
          <w:tcPr>
            <w:tcW w:w="4961" w:type="dxa"/>
            <w:shd w:val="clear" w:color="auto" w:fill="FFFFFF"/>
          </w:tcPr>
          <w:p w14:paraId="0259232B" w14:textId="07309D78" w:rsidR="008C28DE" w:rsidRDefault="008C28DE" w:rsidP="000A75A5">
            <w:pPr>
              <w:pStyle w:val="BodyText1"/>
            </w:pPr>
            <w:r>
              <w:t xml:space="preserve">This should be a standard offer for anyone who wishes to engage with </w:t>
            </w:r>
            <w:r w:rsidR="00B925DE">
              <w:t>t</w:t>
            </w:r>
            <w:r>
              <w:t>h</w:t>
            </w:r>
            <w:r w:rsidR="00B925DE">
              <w:t>e</w:t>
            </w:r>
            <w:r>
              <w:t xml:space="preserve"> NPA.</w:t>
            </w:r>
          </w:p>
        </w:tc>
        <w:tc>
          <w:tcPr>
            <w:tcW w:w="1701" w:type="dxa"/>
            <w:shd w:val="clear" w:color="auto" w:fill="FFFFFF"/>
          </w:tcPr>
          <w:p w14:paraId="30A6CD6A" w14:textId="62C580E9" w:rsidR="008C28DE" w:rsidRDefault="00B925DE" w:rsidP="000A75A5">
            <w:pPr>
              <w:pStyle w:val="BodyText1"/>
            </w:pPr>
            <w:r>
              <w:t xml:space="preserve">Comms </w:t>
            </w:r>
          </w:p>
        </w:tc>
        <w:tc>
          <w:tcPr>
            <w:tcW w:w="2042" w:type="dxa"/>
            <w:shd w:val="clear" w:color="auto" w:fill="FFFFFF"/>
          </w:tcPr>
          <w:p w14:paraId="0A23161C" w14:textId="1D6B7181" w:rsidR="008C28DE" w:rsidRDefault="008C28DE" w:rsidP="000A75A5">
            <w:pPr>
              <w:pStyle w:val="BodyText1"/>
            </w:pPr>
            <w:r>
              <w:t>J</w:t>
            </w:r>
            <w:r w:rsidR="00606427">
              <w:t>u</w:t>
            </w:r>
            <w:r w:rsidR="00801C4D">
              <w:t>ly</w:t>
            </w:r>
            <w:r w:rsidR="00606427">
              <w:t xml:space="preserve"> </w:t>
            </w:r>
            <w:r>
              <w:t>2024</w:t>
            </w:r>
          </w:p>
        </w:tc>
      </w:tr>
      <w:tr w:rsidR="00E10D38" w14:paraId="01C07811" w14:textId="77777777" w:rsidTr="00B75613">
        <w:tc>
          <w:tcPr>
            <w:tcW w:w="5353" w:type="dxa"/>
            <w:shd w:val="clear" w:color="auto" w:fill="FFFFFF"/>
          </w:tcPr>
          <w:p w14:paraId="607E3656" w14:textId="52CD7181" w:rsidR="00E10D38" w:rsidRDefault="00E10D38" w:rsidP="00FC5BC3">
            <w:pPr>
              <w:pStyle w:val="BodyText1"/>
              <w:rPr>
                <w:szCs w:val="22"/>
              </w:rPr>
            </w:pPr>
            <w:r>
              <w:rPr>
                <w:szCs w:val="22"/>
              </w:rPr>
              <w:t>Staff to engage with appropriate mental health training</w:t>
            </w:r>
          </w:p>
        </w:tc>
        <w:tc>
          <w:tcPr>
            <w:tcW w:w="4961" w:type="dxa"/>
            <w:shd w:val="clear" w:color="auto" w:fill="FFFFFF"/>
          </w:tcPr>
          <w:p w14:paraId="64F7778D" w14:textId="65D333A9" w:rsidR="00E10D38" w:rsidRDefault="00E10D38" w:rsidP="000A75A5">
            <w:pPr>
              <w:pStyle w:val="BodyText1"/>
            </w:pPr>
            <w:r>
              <w:t xml:space="preserve">Staff to have a better understanding to allow them to interact with those individuals who may be having challenges understanding or processing information. </w:t>
            </w:r>
            <w:r w:rsidR="00A845E0">
              <w:t>e</w:t>
            </w:r>
            <w:r>
              <w:t>.</w:t>
            </w:r>
            <w:r w:rsidR="00A845E0">
              <w:t>g</w:t>
            </w:r>
            <w:r>
              <w:t>. Unconscious bias training.</w:t>
            </w:r>
          </w:p>
        </w:tc>
        <w:tc>
          <w:tcPr>
            <w:tcW w:w="1701" w:type="dxa"/>
            <w:shd w:val="clear" w:color="auto" w:fill="FFFFFF"/>
          </w:tcPr>
          <w:p w14:paraId="04B25529" w14:textId="69C0B12A" w:rsidR="00E10D38" w:rsidRDefault="009F0A16" w:rsidP="000A75A5">
            <w:pPr>
              <w:pStyle w:val="BodyText1"/>
            </w:pPr>
            <w:r>
              <w:t>RSM</w:t>
            </w:r>
          </w:p>
        </w:tc>
        <w:tc>
          <w:tcPr>
            <w:tcW w:w="2042" w:type="dxa"/>
            <w:shd w:val="clear" w:color="auto" w:fill="FFFFFF"/>
          </w:tcPr>
          <w:p w14:paraId="4879BFD0" w14:textId="3222F990" w:rsidR="00E10D38" w:rsidRDefault="00E10D38" w:rsidP="000A75A5">
            <w:pPr>
              <w:pStyle w:val="BodyText1"/>
            </w:pPr>
            <w:r>
              <w:t>Nov 2024</w:t>
            </w:r>
          </w:p>
        </w:tc>
      </w:tr>
      <w:tr w:rsidR="00BD12F7" w14:paraId="470912CA" w14:textId="77777777" w:rsidTr="00B75613">
        <w:tc>
          <w:tcPr>
            <w:tcW w:w="5353" w:type="dxa"/>
            <w:shd w:val="clear" w:color="auto" w:fill="FFFFFF"/>
          </w:tcPr>
          <w:p w14:paraId="71155E09" w14:textId="6F2EA3C1" w:rsidR="00BD12F7" w:rsidRDefault="00BD12F7" w:rsidP="00FC5BC3">
            <w:pPr>
              <w:pStyle w:val="BodyText1"/>
              <w:rPr>
                <w:szCs w:val="22"/>
              </w:rPr>
            </w:pPr>
            <w:r>
              <w:rPr>
                <w:szCs w:val="22"/>
              </w:rPr>
              <w:t>Increase the understanding of the need</w:t>
            </w:r>
            <w:r w:rsidR="00407606">
              <w:rPr>
                <w:szCs w:val="22"/>
              </w:rPr>
              <w:t>s of Dyslexic staff members</w:t>
            </w:r>
            <w:r w:rsidR="008F5965">
              <w:rPr>
                <w:szCs w:val="22"/>
              </w:rPr>
              <w:t>.</w:t>
            </w:r>
            <w:r w:rsidR="00407606">
              <w:rPr>
                <w:szCs w:val="22"/>
              </w:rPr>
              <w:t xml:space="preserve"> </w:t>
            </w:r>
          </w:p>
        </w:tc>
        <w:tc>
          <w:tcPr>
            <w:tcW w:w="4961" w:type="dxa"/>
            <w:shd w:val="clear" w:color="auto" w:fill="FFFFFF"/>
          </w:tcPr>
          <w:p w14:paraId="5BC58025" w14:textId="724C11BD" w:rsidR="00BD12F7" w:rsidRDefault="008F5965" w:rsidP="000A75A5">
            <w:pPr>
              <w:pStyle w:val="BodyText1"/>
            </w:pPr>
            <w:r>
              <w:rPr>
                <w:szCs w:val="22"/>
              </w:rPr>
              <w:t>Adequate provision to be put in place to support individual needs.</w:t>
            </w:r>
          </w:p>
        </w:tc>
        <w:tc>
          <w:tcPr>
            <w:tcW w:w="1701" w:type="dxa"/>
            <w:shd w:val="clear" w:color="auto" w:fill="FFFFFF"/>
          </w:tcPr>
          <w:p w14:paraId="42D1F577" w14:textId="15371A56" w:rsidR="00BD12F7" w:rsidRDefault="009F0A16" w:rsidP="000A75A5">
            <w:pPr>
              <w:pStyle w:val="BodyText1"/>
            </w:pPr>
            <w:r>
              <w:t>HR</w:t>
            </w:r>
          </w:p>
        </w:tc>
        <w:tc>
          <w:tcPr>
            <w:tcW w:w="2042" w:type="dxa"/>
            <w:shd w:val="clear" w:color="auto" w:fill="FFFFFF"/>
          </w:tcPr>
          <w:p w14:paraId="0BC2B0E6" w14:textId="0152087D" w:rsidR="00BD12F7" w:rsidRDefault="008F5965" w:rsidP="000A75A5">
            <w:pPr>
              <w:pStyle w:val="BodyText1"/>
            </w:pPr>
            <w:r>
              <w:t>Aug 2024</w:t>
            </w:r>
          </w:p>
        </w:tc>
      </w:tr>
      <w:tr w:rsidR="00B15D80" w14:paraId="222A1CB4" w14:textId="77777777" w:rsidTr="00B75613">
        <w:tc>
          <w:tcPr>
            <w:tcW w:w="5353" w:type="dxa"/>
            <w:shd w:val="clear" w:color="auto" w:fill="FFFFFF"/>
          </w:tcPr>
          <w:p w14:paraId="456E8153" w14:textId="77777777" w:rsidR="00B15D80" w:rsidRDefault="00B15D80" w:rsidP="00FC5BC3">
            <w:pPr>
              <w:pStyle w:val="BodyText1"/>
              <w:rPr>
                <w:szCs w:val="22"/>
              </w:rPr>
            </w:pPr>
          </w:p>
        </w:tc>
        <w:tc>
          <w:tcPr>
            <w:tcW w:w="4961" w:type="dxa"/>
            <w:shd w:val="clear" w:color="auto" w:fill="FFFFFF"/>
          </w:tcPr>
          <w:p w14:paraId="3B641A7B" w14:textId="77777777" w:rsidR="00B15D80" w:rsidRDefault="00B15D80" w:rsidP="000A75A5">
            <w:pPr>
              <w:pStyle w:val="BodyText1"/>
              <w:rPr>
                <w:szCs w:val="22"/>
              </w:rPr>
            </w:pPr>
          </w:p>
        </w:tc>
        <w:tc>
          <w:tcPr>
            <w:tcW w:w="1701" w:type="dxa"/>
            <w:shd w:val="clear" w:color="auto" w:fill="FFFFFF"/>
          </w:tcPr>
          <w:p w14:paraId="0A58A58C" w14:textId="77777777" w:rsidR="00B15D80" w:rsidRDefault="00B15D80" w:rsidP="000A75A5">
            <w:pPr>
              <w:pStyle w:val="BodyText1"/>
            </w:pPr>
          </w:p>
        </w:tc>
        <w:tc>
          <w:tcPr>
            <w:tcW w:w="2042" w:type="dxa"/>
            <w:shd w:val="clear" w:color="auto" w:fill="FFFFFF"/>
          </w:tcPr>
          <w:p w14:paraId="05D39C91" w14:textId="77777777" w:rsidR="00B15D80" w:rsidRDefault="00B15D80" w:rsidP="000A75A5">
            <w:pPr>
              <w:pStyle w:val="BodyText1"/>
            </w:pPr>
          </w:p>
        </w:tc>
      </w:tr>
    </w:tbl>
    <w:p w14:paraId="370320A5" w14:textId="77777777" w:rsidR="00460CEC" w:rsidRDefault="00AD4192" w:rsidP="00780180">
      <w:pPr>
        <w:pStyle w:val="Heading2"/>
        <w:numPr>
          <w:ilvl w:val="0"/>
          <w:numId w:val="17"/>
        </w:numPr>
      </w:pPr>
      <w:r w:rsidRPr="00AD4192">
        <w:lastRenderedPageBreak/>
        <w:t>Sign off</w:t>
      </w:r>
      <w:r w:rsidR="00E76EAC">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10783"/>
      </w:tblGrid>
      <w:tr w:rsidR="00AD4192" w:rsidRPr="00AD4192" w14:paraId="69356895" w14:textId="77777777" w:rsidTr="00B75613">
        <w:tc>
          <w:tcPr>
            <w:tcW w:w="3119" w:type="dxa"/>
            <w:shd w:val="clear" w:color="auto" w:fill="FFFFFF"/>
          </w:tcPr>
          <w:p w14:paraId="0E08264C" w14:textId="77777777" w:rsidR="00AD4192" w:rsidRPr="00B75613" w:rsidRDefault="00AD4192" w:rsidP="00B75613">
            <w:pPr>
              <w:pStyle w:val="n"/>
              <w:numPr>
                <w:ilvl w:val="0"/>
                <w:numId w:val="0"/>
              </w:numPr>
              <w:rPr>
                <w:sz w:val="22"/>
                <w:szCs w:val="22"/>
              </w:rPr>
            </w:pPr>
            <w:r w:rsidRPr="00B75613">
              <w:rPr>
                <w:sz w:val="22"/>
                <w:szCs w:val="22"/>
              </w:rPr>
              <w:t>Assessment signed off by:</w:t>
            </w:r>
          </w:p>
        </w:tc>
        <w:tc>
          <w:tcPr>
            <w:tcW w:w="11011" w:type="dxa"/>
          </w:tcPr>
          <w:p w14:paraId="69B1E89B" w14:textId="339157E5" w:rsidR="00AD4192" w:rsidRPr="00AD4192" w:rsidRDefault="001A7023" w:rsidP="002A5CBA">
            <w:r>
              <w:t>TBC</w:t>
            </w:r>
          </w:p>
        </w:tc>
      </w:tr>
      <w:tr w:rsidR="00AD4192" w:rsidRPr="00AD4192" w14:paraId="7303BA00" w14:textId="77777777" w:rsidTr="00B75613">
        <w:tc>
          <w:tcPr>
            <w:tcW w:w="3119" w:type="dxa"/>
            <w:shd w:val="clear" w:color="auto" w:fill="FFFFFF"/>
          </w:tcPr>
          <w:p w14:paraId="40FA1A02" w14:textId="77777777" w:rsidR="00AD4192" w:rsidRPr="00B75613" w:rsidRDefault="00AD4192" w:rsidP="00B75613">
            <w:pPr>
              <w:pStyle w:val="n"/>
              <w:numPr>
                <w:ilvl w:val="0"/>
                <w:numId w:val="0"/>
              </w:numPr>
              <w:rPr>
                <w:b/>
                <w:sz w:val="22"/>
                <w:szCs w:val="22"/>
              </w:rPr>
            </w:pPr>
            <w:r w:rsidRPr="00B75613">
              <w:rPr>
                <w:sz w:val="22"/>
                <w:szCs w:val="22"/>
              </w:rPr>
              <w:t>Sign off date:</w:t>
            </w:r>
          </w:p>
        </w:tc>
        <w:tc>
          <w:tcPr>
            <w:tcW w:w="11011" w:type="dxa"/>
          </w:tcPr>
          <w:p w14:paraId="55C49E8F" w14:textId="77777777" w:rsidR="00AD4192" w:rsidRPr="00AD4192" w:rsidRDefault="00AD4192" w:rsidP="002A5CBA"/>
        </w:tc>
      </w:tr>
    </w:tbl>
    <w:p w14:paraId="71037AF9" w14:textId="77777777" w:rsidR="0060695F" w:rsidRPr="00AD4192" w:rsidRDefault="0060695F" w:rsidP="004512FE"/>
    <w:sectPr w:rsidR="0060695F" w:rsidRPr="00AD4192" w:rsidSect="00E41881">
      <w:headerReference w:type="default" r:id="rId17"/>
      <w:footerReference w:type="default" r:id="rId18"/>
      <w:footerReference w:type="first" r:id="rId19"/>
      <w:pgSz w:w="16840" w:h="11907" w:orient="landscape" w:code="9"/>
      <w:pgMar w:top="993" w:right="1440" w:bottom="709" w:left="1559"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04EC" w14:textId="77777777" w:rsidR="00AA28BC" w:rsidRDefault="00AA28BC">
      <w:r>
        <w:separator/>
      </w:r>
    </w:p>
    <w:p w14:paraId="7F96DC59" w14:textId="77777777" w:rsidR="00AA28BC" w:rsidRDefault="00AA28BC"/>
  </w:endnote>
  <w:endnote w:type="continuationSeparator" w:id="0">
    <w:p w14:paraId="0E8ED0EF" w14:textId="77777777" w:rsidR="00AA28BC" w:rsidRDefault="00AA28BC">
      <w:r>
        <w:continuationSeparator/>
      </w:r>
    </w:p>
    <w:p w14:paraId="17F21520" w14:textId="77777777" w:rsidR="00AA28BC" w:rsidRDefault="00AA28BC"/>
  </w:endnote>
  <w:endnote w:type="continuationNotice" w:id="1">
    <w:p w14:paraId="3F5CE321" w14:textId="77777777" w:rsidR="00AA28BC" w:rsidRDefault="00AA2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53C5" w14:textId="77777777" w:rsidR="001E2E03" w:rsidRDefault="001E2E03">
    <w:pPr>
      <w:pStyle w:val="Footer"/>
      <w:jc w:val="right"/>
    </w:pPr>
    <w:r>
      <w:fldChar w:fldCharType="begin"/>
    </w:r>
    <w:r>
      <w:instrText xml:space="preserve"> PAGE   \* MERGEFORMAT </w:instrText>
    </w:r>
    <w:r>
      <w:fldChar w:fldCharType="separate"/>
    </w:r>
    <w:r w:rsidR="00FC5BC3">
      <w:rPr>
        <w:noProof/>
      </w:rPr>
      <w:t>9</w:t>
    </w:r>
    <w:r>
      <w:rPr>
        <w:noProof/>
      </w:rPr>
      <w:fldChar w:fldCharType="end"/>
    </w:r>
  </w:p>
  <w:p w14:paraId="253DAD4C" w14:textId="77777777" w:rsidR="0084207F" w:rsidRPr="00906992" w:rsidRDefault="0084207F" w:rsidP="00D84FA3">
    <w:pPr>
      <w:pStyle w:val="Footer"/>
      <w:tabs>
        <w:tab w:val="clear" w:pos="4153"/>
        <w:tab w:val="clear" w:pos="8306"/>
        <w:tab w:val="left" w:pos="5060"/>
        <w:tab w:val="right" w:pos="9130"/>
        <w:tab w:val="right" w:pos="10560"/>
      </w:tabs>
      <w:rPr>
        <w:color w:val="A6A6A6"/>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4986" w14:textId="7AAF64DB" w:rsidR="0084207F" w:rsidRPr="00E87C37" w:rsidRDefault="00000000" w:rsidP="006F6146">
    <w:pPr>
      <w:pStyle w:val="Footer"/>
      <w:tabs>
        <w:tab w:val="clear" w:pos="4153"/>
        <w:tab w:val="clear" w:pos="8306"/>
        <w:tab w:val="left" w:pos="2860"/>
        <w:tab w:val="right" w:pos="9130"/>
        <w:tab w:val="right" w:pos="10560"/>
      </w:tabs>
      <w:rPr>
        <w:lang w:val="en-GB"/>
      </w:rPr>
    </w:pPr>
    <w:fldSimple w:instr=" STYLEREF  &quot;Only use in doc header - doc title&quot;  \* MERGEFORMAT ">
      <w:r w:rsidR="0084207F" w:rsidRPr="004D3114">
        <w:rPr>
          <w:noProof/>
          <w:lang w:val="en-GB"/>
        </w:rPr>
        <w:t>Equality impact</w:t>
      </w:r>
      <w:r w:rsidR="0084207F">
        <w:rPr>
          <w:noProof/>
        </w:rPr>
        <w:t xml:space="preserve"> assessments</w:t>
      </w:r>
    </w:fldSimple>
    <w:r w:rsidR="0084207F" w:rsidRPr="006F6146">
      <w:rPr>
        <w:lang w:val="en-GB"/>
      </w:rPr>
      <w:t xml:space="preserve"> </w:t>
    </w:r>
    <w:r w:rsidR="0084207F">
      <w:rPr>
        <w:lang w:val="en-GB"/>
      </w:rPr>
      <w:tab/>
    </w:r>
    <w:r w:rsidR="0084207F" w:rsidRPr="006B3131">
      <w:rPr>
        <w:lang w:val="en-GB"/>
      </w:rPr>
      <w:t xml:space="preserve">Last saved </w:t>
    </w:r>
    <w:r w:rsidR="0084207F">
      <w:rPr>
        <w:lang w:val="en-GB"/>
      </w:rPr>
      <w:t>on</w:t>
    </w:r>
    <w:r w:rsidR="0084207F" w:rsidRPr="006B3131">
      <w:rPr>
        <w:lang w:val="en-GB"/>
      </w:rPr>
      <w:t xml:space="preserve"> </w:t>
    </w:r>
    <w:r w:rsidR="0084207F">
      <w:rPr>
        <w:lang w:val="en-GB"/>
      </w:rPr>
      <w:fldChar w:fldCharType="begin"/>
    </w:r>
    <w:r w:rsidR="0084207F">
      <w:rPr>
        <w:lang w:val="en-GB"/>
      </w:rPr>
      <w:instrText xml:space="preserve"> SAVEDATE  \@ "d MMMM yyyy" </w:instrText>
    </w:r>
    <w:r w:rsidR="0084207F">
      <w:rPr>
        <w:lang w:val="en-GB"/>
      </w:rPr>
      <w:fldChar w:fldCharType="separate"/>
    </w:r>
    <w:r w:rsidR="00B15D80">
      <w:rPr>
        <w:noProof/>
        <w:lang w:val="en-GB"/>
      </w:rPr>
      <w:t>1 July 2024</w:t>
    </w:r>
    <w:r w:rsidR="0084207F">
      <w:rPr>
        <w:lang w:val="en-GB"/>
      </w:rPr>
      <w:fldChar w:fldCharType="end"/>
    </w:r>
    <w:r w:rsidR="0084207F">
      <w:rPr>
        <w:lang w:val="en-GB"/>
      </w:rPr>
      <w:tab/>
    </w:r>
    <w:r w:rsidR="0084207F" w:rsidRPr="006F6146">
      <w:rPr>
        <w:lang w:val="en-GB"/>
      </w:rPr>
      <w:t xml:space="preserve">Page </w:t>
    </w:r>
    <w:r w:rsidR="0084207F" w:rsidRPr="006F6146">
      <w:rPr>
        <w:lang w:val="en-GB"/>
      </w:rPr>
      <w:fldChar w:fldCharType="begin"/>
    </w:r>
    <w:r w:rsidR="0084207F" w:rsidRPr="006F6146">
      <w:rPr>
        <w:lang w:val="en-GB"/>
      </w:rPr>
      <w:instrText xml:space="preserve"> PAGE </w:instrText>
    </w:r>
    <w:r w:rsidR="0084207F" w:rsidRPr="006F6146">
      <w:rPr>
        <w:lang w:val="en-GB"/>
      </w:rPr>
      <w:fldChar w:fldCharType="separate"/>
    </w:r>
    <w:r w:rsidR="0084207F">
      <w:rPr>
        <w:noProof/>
        <w:lang w:val="en-GB"/>
      </w:rPr>
      <w:t>1</w:t>
    </w:r>
    <w:r w:rsidR="0084207F" w:rsidRPr="006F6146">
      <w:rPr>
        <w:lang w:val="en-GB"/>
      </w:rPr>
      <w:fldChar w:fldCharType="end"/>
    </w:r>
    <w:r w:rsidR="0084207F" w:rsidRPr="006F6146">
      <w:rPr>
        <w:lang w:val="en-GB"/>
      </w:rPr>
      <w:t xml:space="preserve"> of </w:t>
    </w:r>
    <w:r w:rsidR="0084207F" w:rsidRPr="006F6146">
      <w:rPr>
        <w:lang w:val="en-GB"/>
      </w:rPr>
      <w:fldChar w:fldCharType="begin"/>
    </w:r>
    <w:r w:rsidR="0084207F" w:rsidRPr="006F6146">
      <w:rPr>
        <w:lang w:val="en-GB"/>
      </w:rPr>
      <w:instrText xml:space="preserve"> NUMPAGES </w:instrText>
    </w:r>
    <w:r w:rsidR="0084207F" w:rsidRPr="006F6146">
      <w:rPr>
        <w:lang w:val="en-GB"/>
      </w:rPr>
      <w:fldChar w:fldCharType="separate"/>
    </w:r>
    <w:r w:rsidR="0084207F">
      <w:rPr>
        <w:noProof/>
        <w:lang w:val="en-GB"/>
      </w:rPr>
      <w:t>6</w:t>
    </w:r>
    <w:r w:rsidR="0084207F" w:rsidRPr="006F6146">
      <w:rPr>
        <w:lang w:val="en-GB"/>
      </w:rPr>
      <w:fldChar w:fldCharType="end"/>
    </w:r>
    <w:r w:rsidR="0084207F">
      <w:rPr>
        <w:lang w:val="en-GB"/>
      </w:rPr>
      <w:tab/>
    </w:r>
    <w:r w:rsidR="0084207F" w:rsidRPr="00E87C37">
      <w:rPr>
        <w:rStyle w:val="PageNumber"/>
      </w:rPr>
      <w:fldChar w:fldCharType="begin"/>
    </w:r>
    <w:r w:rsidR="0084207F" w:rsidRPr="00E87C37">
      <w:rPr>
        <w:rStyle w:val="PageNumber"/>
      </w:rPr>
      <w:instrText xml:space="preserve"> PAGE </w:instrText>
    </w:r>
    <w:r w:rsidR="0084207F" w:rsidRPr="00E87C37">
      <w:rPr>
        <w:rStyle w:val="PageNumber"/>
      </w:rPr>
      <w:fldChar w:fldCharType="separate"/>
    </w:r>
    <w:r w:rsidR="0084207F">
      <w:rPr>
        <w:rStyle w:val="PageNumber"/>
        <w:noProof/>
      </w:rPr>
      <w:t>1</w:t>
    </w:r>
    <w:r w:rsidR="0084207F" w:rsidRPr="00E87C37">
      <w:rPr>
        <w:rStyle w:val="PageNumber"/>
      </w:rPr>
      <w:fldChar w:fldCharType="end"/>
    </w:r>
  </w:p>
  <w:p w14:paraId="555D88A6" w14:textId="77777777" w:rsidR="0084207F" w:rsidRDefault="008420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4B543" w14:textId="77777777" w:rsidR="00AA28BC" w:rsidRDefault="00AA28BC">
      <w:r>
        <w:separator/>
      </w:r>
    </w:p>
    <w:p w14:paraId="114ABEA8" w14:textId="77777777" w:rsidR="00AA28BC" w:rsidRDefault="00AA28BC"/>
  </w:footnote>
  <w:footnote w:type="continuationSeparator" w:id="0">
    <w:p w14:paraId="1E3CB6B1" w14:textId="77777777" w:rsidR="00AA28BC" w:rsidRDefault="00AA28BC">
      <w:r>
        <w:continuationSeparator/>
      </w:r>
    </w:p>
    <w:p w14:paraId="1A39547B" w14:textId="77777777" w:rsidR="00AA28BC" w:rsidRDefault="00AA28BC"/>
  </w:footnote>
  <w:footnote w:type="continuationNotice" w:id="1">
    <w:p w14:paraId="2F072FEF" w14:textId="77777777" w:rsidR="00AA28BC" w:rsidRDefault="00AA2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460A2" w14:textId="0834D2EE" w:rsidR="0084207F" w:rsidRDefault="00C96D0A" w:rsidP="00421B14">
    <w:pPr>
      <w:pStyle w:val="Header"/>
      <w:rPr>
        <w:rFonts w:cs="Arial"/>
        <w:b/>
        <w:sz w:val="36"/>
        <w:szCs w:val="36"/>
      </w:rPr>
    </w:pPr>
    <w:r>
      <w:rPr>
        <w:noProof/>
      </w:rPr>
      <w:drawing>
        <wp:anchor distT="0" distB="0" distL="114300" distR="114300" simplePos="0" relativeHeight="251658241" behindDoc="0" locked="0" layoutInCell="1" allowOverlap="1" wp14:anchorId="17EFBE62" wp14:editId="304CAA7A">
          <wp:simplePos x="0" y="0"/>
          <wp:positionH relativeFrom="column">
            <wp:posOffset>6978650</wp:posOffset>
          </wp:positionH>
          <wp:positionV relativeFrom="paragraph">
            <wp:posOffset>-260350</wp:posOffset>
          </wp:positionV>
          <wp:extent cx="1840865" cy="1997075"/>
          <wp:effectExtent l="0" t="0" r="0" b="0"/>
          <wp:wrapNone/>
          <wp:docPr id="2" name="Picture 1" descr="LLTNP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TNPA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1997075"/>
                  </a:xfrm>
                  <a:prstGeom prst="rect">
                    <a:avLst/>
                  </a:prstGeom>
                  <a:noFill/>
                </pic:spPr>
              </pic:pic>
            </a:graphicData>
          </a:graphic>
          <wp14:sizeRelH relativeFrom="margin">
            <wp14:pctWidth>0</wp14:pctWidth>
          </wp14:sizeRelH>
          <wp14:sizeRelV relativeFrom="margin">
            <wp14:pctHeight>0</wp14:pctHeight>
          </wp14:sizeRelV>
        </wp:anchor>
      </w:drawing>
    </w:r>
    <w:r w:rsidR="0084207F">
      <w:rPr>
        <w:rFonts w:cs="Arial"/>
        <w:b/>
        <w:sz w:val="36"/>
        <w:szCs w:val="36"/>
      </w:rPr>
      <w:t>Project Management</w:t>
    </w:r>
  </w:p>
  <w:p w14:paraId="5B3C1D16" w14:textId="3A8AA288" w:rsidR="0084207F" w:rsidRPr="00B86157" w:rsidRDefault="00C96D0A" w:rsidP="00BB5764">
    <w:pPr>
      <w:pStyle w:val="Header"/>
      <w:rPr>
        <w:rFonts w:cs="Arial"/>
        <w:b/>
        <w:sz w:val="36"/>
        <w:szCs w:val="36"/>
      </w:rPr>
    </w:pPr>
    <w:r>
      <w:rPr>
        <w:rFonts w:cs="Arial"/>
        <w:b/>
        <w:noProof/>
        <w:sz w:val="36"/>
        <w:szCs w:val="36"/>
      </w:rPr>
      <w:drawing>
        <wp:anchor distT="0" distB="0" distL="114300" distR="114300" simplePos="0" relativeHeight="251658240" behindDoc="0" locked="0" layoutInCell="1" allowOverlap="1" wp14:anchorId="63676DB9" wp14:editId="5BC548E7">
          <wp:simplePos x="0" y="0"/>
          <wp:positionH relativeFrom="column">
            <wp:posOffset>7401560</wp:posOffset>
          </wp:positionH>
          <wp:positionV relativeFrom="paragraph">
            <wp:posOffset>-135890</wp:posOffset>
          </wp:positionV>
          <wp:extent cx="1295400" cy="1409700"/>
          <wp:effectExtent l="0" t="0" r="0" b="0"/>
          <wp:wrapNone/>
          <wp:docPr id="1" name="Picture 2" descr="LLTNPA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TNPA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14:sizeRelH relativeFrom="page">
            <wp14:pctWidth>0</wp14:pctWidth>
          </wp14:sizeRelH>
          <wp14:sizeRelV relativeFrom="page">
            <wp14:pctHeight>0</wp14:pctHeight>
          </wp14:sizeRelV>
        </wp:anchor>
      </w:drawing>
    </w:r>
    <w:r w:rsidR="0084207F">
      <w:rPr>
        <w:rFonts w:cs="Arial"/>
        <w:b/>
        <w:sz w:val="36"/>
        <w:szCs w:val="36"/>
      </w:rPr>
      <w:t xml:space="preserve">Equality Impact Assessment </w:t>
    </w:r>
    <w:r w:rsidR="0084207F" w:rsidRPr="00B86157">
      <w:rPr>
        <w:rFonts w:cs="Arial"/>
        <w:b/>
        <w:sz w:val="36"/>
        <w:szCs w:val="36"/>
      </w:rPr>
      <w:t xml:space="preserve">  </w:t>
    </w:r>
  </w:p>
  <w:p w14:paraId="2C34C71C" w14:textId="77777777" w:rsidR="0084207F" w:rsidRDefault="0084207F" w:rsidP="00BB5764">
    <w:pPr>
      <w:pStyle w:val="Header"/>
    </w:pPr>
  </w:p>
  <w:p w14:paraId="7FC74925" w14:textId="77777777" w:rsidR="0084207F" w:rsidRDefault="0084207F" w:rsidP="00BB5764">
    <w:pPr>
      <w:pStyle w:val="Header"/>
      <w:pBdr>
        <w:bottom w:val="single" w:sz="12" w:space="1" w:color="auto"/>
      </w:pBdr>
    </w:pPr>
  </w:p>
  <w:p w14:paraId="1B4E17B1" w14:textId="77777777" w:rsidR="0084207F" w:rsidRPr="00FE6AF2" w:rsidRDefault="0084207F" w:rsidP="00BB5764">
    <w:pPr>
      <w:pStyle w:val="Header"/>
      <w:pBdr>
        <w:bottom w:val="single" w:sz="12" w:space="1" w:color="auto"/>
      </w:pBdr>
      <w:rPr>
        <w:b/>
        <w:szCs w:val="28"/>
      </w:rPr>
    </w:pPr>
  </w:p>
  <w:p w14:paraId="1DEF8F89" w14:textId="77777777" w:rsidR="0084207F" w:rsidRDefault="0084207F" w:rsidP="00BB5764">
    <w:pPr>
      <w:pStyle w:val="Header"/>
      <w:pBdr>
        <w:bottom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3636"/>
    <w:multiLevelType w:val="hybridMultilevel"/>
    <w:tmpl w:val="DA709C36"/>
    <w:lvl w:ilvl="0" w:tplc="9BFC8A66">
      <w:start w:val="1"/>
      <w:numFmt w:val="bullet"/>
      <w:pStyle w:val="Bulleted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214B0B"/>
    <w:multiLevelType w:val="hybridMultilevel"/>
    <w:tmpl w:val="305EF9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ADF3B71"/>
    <w:multiLevelType w:val="hybridMultilevel"/>
    <w:tmpl w:val="5DBC526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92398C"/>
    <w:multiLevelType w:val="hybridMultilevel"/>
    <w:tmpl w:val="DFBAA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904A71"/>
    <w:multiLevelType w:val="hybridMultilevel"/>
    <w:tmpl w:val="F4A60DA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E4273F"/>
    <w:multiLevelType w:val="hybridMultilevel"/>
    <w:tmpl w:val="345290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2627C3"/>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82427F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E506FB"/>
    <w:multiLevelType w:val="hybridMultilevel"/>
    <w:tmpl w:val="DD7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76493"/>
    <w:multiLevelType w:val="hybridMultilevel"/>
    <w:tmpl w:val="F2BCC66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7454B8"/>
    <w:multiLevelType w:val="hybridMultilevel"/>
    <w:tmpl w:val="9EB0718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67594E"/>
    <w:multiLevelType w:val="hybridMultilevel"/>
    <w:tmpl w:val="BB12395E"/>
    <w:lvl w:ilvl="0" w:tplc="CBD2EF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4686D"/>
    <w:multiLevelType w:val="hybridMultilevel"/>
    <w:tmpl w:val="06FA1A9C"/>
    <w:lvl w:ilvl="0" w:tplc="2170480E">
      <w:start w:val="1"/>
      <w:numFmt w:val="decimal"/>
      <w:pStyle w:val="Numberedlist"/>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A3EFB"/>
    <w:multiLevelType w:val="multilevel"/>
    <w:tmpl w:val="49047022"/>
    <w:lvl w:ilvl="0">
      <w:start w:val="1"/>
      <w:numFmt w:val="decimal"/>
      <w:pStyle w:val="n"/>
      <w:isLgl/>
      <w:lvlText w:val="%1"/>
      <w:lvlJc w:val="left"/>
      <w:pPr>
        <w:tabs>
          <w:tab w:val="num" w:pos="794"/>
        </w:tabs>
        <w:ind w:left="794" w:hanging="794"/>
      </w:pPr>
      <w:rPr>
        <w:rFonts w:ascii="Arial" w:hAnsi="Arial" w:hint="default"/>
        <w:b w:val="0"/>
        <w:i w:val="0"/>
        <w:sz w:val="24"/>
      </w:rPr>
    </w:lvl>
    <w:lvl w:ilvl="1">
      <w:start w:val="1"/>
      <w:numFmt w:val="decimal"/>
      <w:isLgl/>
      <w:lvlText w:val="%1.%2"/>
      <w:lvlJc w:val="left"/>
      <w:pPr>
        <w:tabs>
          <w:tab w:val="num" w:pos="1588"/>
        </w:tabs>
        <w:ind w:left="1588" w:hanging="794"/>
      </w:pPr>
      <w:rPr>
        <w:rFonts w:hint="default"/>
      </w:rPr>
    </w:lvl>
    <w:lvl w:ilvl="2">
      <w:start w:val="1"/>
      <w:numFmt w:val="decimal"/>
      <w:isLgl/>
      <w:lvlText w:val="%1.%2.%3"/>
      <w:lvlJc w:val="left"/>
      <w:pPr>
        <w:tabs>
          <w:tab w:val="num" w:pos="2381"/>
        </w:tabs>
        <w:ind w:left="2381" w:hanging="793"/>
      </w:pPr>
      <w:rPr>
        <w:rFonts w:hint="default"/>
      </w:rPr>
    </w:lvl>
    <w:lvl w:ilvl="3">
      <w:start w:val="1"/>
      <w:numFmt w:val="decimal"/>
      <w:isLgl/>
      <w:lvlText w:val="%1.%2.%3.%4"/>
      <w:lvlJc w:val="left"/>
      <w:pPr>
        <w:tabs>
          <w:tab w:val="num" w:pos="3461"/>
        </w:tabs>
        <w:ind w:left="3175" w:hanging="79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57A3424A"/>
    <w:multiLevelType w:val="hybridMultilevel"/>
    <w:tmpl w:val="AD3C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863360"/>
    <w:multiLevelType w:val="hybridMultilevel"/>
    <w:tmpl w:val="F83A4CB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3D5E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63893A00"/>
    <w:multiLevelType w:val="hybridMultilevel"/>
    <w:tmpl w:val="AEFA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7352B1"/>
    <w:multiLevelType w:val="hybridMultilevel"/>
    <w:tmpl w:val="1C067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1A24A9"/>
    <w:multiLevelType w:val="hybridMultilevel"/>
    <w:tmpl w:val="40125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694A44"/>
    <w:multiLevelType w:val="hybridMultilevel"/>
    <w:tmpl w:val="9F82A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5465C2"/>
    <w:multiLevelType w:val="hybridMultilevel"/>
    <w:tmpl w:val="1D5CC6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648830461">
    <w:abstractNumId w:val="9"/>
  </w:num>
  <w:num w:numId="2" w16cid:durableId="2136829990">
    <w:abstractNumId w:val="7"/>
  </w:num>
  <w:num w:numId="3" w16cid:durableId="569273267">
    <w:abstractNumId w:val="6"/>
  </w:num>
  <w:num w:numId="4" w16cid:durableId="328795278">
    <w:abstractNumId w:val="5"/>
  </w:num>
  <w:num w:numId="5" w16cid:durableId="2035031735">
    <w:abstractNumId w:val="4"/>
  </w:num>
  <w:num w:numId="6" w16cid:durableId="362177099">
    <w:abstractNumId w:val="8"/>
  </w:num>
  <w:num w:numId="7" w16cid:durableId="438380351">
    <w:abstractNumId w:val="3"/>
  </w:num>
  <w:num w:numId="8" w16cid:durableId="1133795667">
    <w:abstractNumId w:val="2"/>
  </w:num>
  <w:num w:numId="9" w16cid:durableId="80880543">
    <w:abstractNumId w:val="1"/>
  </w:num>
  <w:num w:numId="10" w16cid:durableId="1187989912">
    <w:abstractNumId w:val="0"/>
  </w:num>
  <w:num w:numId="11" w16cid:durableId="364062016">
    <w:abstractNumId w:val="26"/>
  </w:num>
  <w:num w:numId="12" w16cid:durableId="1193885616">
    <w:abstractNumId w:val="17"/>
  </w:num>
  <w:num w:numId="13" w16cid:durableId="2125689471">
    <w:abstractNumId w:val="16"/>
  </w:num>
  <w:num w:numId="14" w16cid:durableId="1070543978">
    <w:abstractNumId w:val="10"/>
  </w:num>
  <w:num w:numId="15" w16cid:durableId="2105111026">
    <w:abstractNumId w:val="22"/>
  </w:num>
  <w:num w:numId="16" w16cid:durableId="860048211">
    <w:abstractNumId w:val="23"/>
  </w:num>
  <w:num w:numId="17" w16cid:durableId="1826432896">
    <w:abstractNumId w:val="11"/>
  </w:num>
  <w:num w:numId="18" w16cid:durableId="1008798009">
    <w:abstractNumId w:val="18"/>
  </w:num>
  <w:num w:numId="19" w16cid:durableId="164906045">
    <w:abstractNumId w:val="29"/>
  </w:num>
  <w:num w:numId="20" w16cid:durableId="440957491">
    <w:abstractNumId w:val="28"/>
  </w:num>
  <w:num w:numId="21" w16cid:durableId="1426419744">
    <w:abstractNumId w:val="13"/>
  </w:num>
  <w:num w:numId="22" w16cid:durableId="958686083">
    <w:abstractNumId w:val="27"/>
  </w:num>
  <w:num w:numId="23" w16cid:durableId="1622497490">
    <w:abstractNumId w:val="31"/>
  </w:num>
  <w:num w:numId="24" w16cid:durableId="923686215">
    <w:abstractNumId w:val="20"/>
  </w:num>
  <w:num w:numId="25" w16cid:durableId="1279603792">
    <w:abstractNumId w:val="24"/>
  </w:num>
  <w:num w:numId="26" w16cid:durableId="433356393">
    <w:abstractNumId w:val="25"/>
  </w:num>
  <w:num w:numId="27" w16cid:durableId="1726025592">
    <w:abstractNumId w:val="21"/>
  </w:num>
  <w:num w:numId="28" w16cid:durableId="1974555135">
    <w:abstractNumId w:val="19"/>
  </w:num>
  <w:num w:numId="29" w16cid:durableId="1572420121">
    <w:abstractNumId w:val="12"/>
  </w:num>
  <w:num w:numId="30" w16cid:durableId="491993755">
    <w:abstractNumId w:val="14"/>
  </w:num>
  <w:num w:numId="31" w16cid:durableId="684096097">
    <w:abstractNumId w:val="30"/>
  </w:num>
  <w:num w:numId="32" w16cid:durableId="108935132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92"/>
    <w:rsid w:val="00004E40"/>
    <w:rsid w:val="0001695C"/>
    <w:rsid w:val="00020A69"/>
    <w:rsid w:val="00024701"/>
    <w:rsid w:val="000250EE"/>
    <w:rsid w:val="0002607D"/>
    <w:rsid w:val="00026A37"/>
    <w:rsid w:val="00032A99"/>
    <w:rsid w:val="000341FD"/>
    <w:rsid w:val="000352F8"/>
    <w:rsid w:val="000373D4"/>
    <w:rsid w:val="00037E2E"/>
    <w:rsid w:val="00041F03"/>
    <w:rsid w:val="000500C9"/>
    <w:rsid w:val="00050268"/>
    <w:rsid w:val="00051804"/>
    <w:rsid w:val="000519D5"/>
    <w:rsid w:val="00060CB5"/>
    <w:rsid w:val="00064BBB"/>
    <w:rsid w:val="00066A5C"/>
    <w:rsid w:val="00067D94"/>
    <w:rsid w:val="00070B49"/>
    <w:rsid w:val="00072F23"/>
    <w:rsid w:val="0008314D"/>
    <w:rsid w:val="00083975"/>
    <w:rsid w:val="000842F9"/>
    <w:rsid w:val="000912F7"/>
    <w:rsid w:val="00095AF4"/>
    <w:rsid w:val="000978C2"/>
    <w:rsid w:val="000A1372"/>
    <w:rsid w:val="000A75A5"/>
    <w:rsid w:val="000B001F"/>
    <w:rsid w:val="000B5BEC"/>
    <w:rsid w:val="000C1AA8"/>
    <w:rsid w:val="000C2860"/>
    <w:rsid w:val="000C2B4C"/>
    <w:rsid w:val="000C4205"/>
    <w:rsid w:val="000C6862"/>
    <w:rsid w:val="000D1C54"/>
    <w:rsid w:val="000D28B6"/>
    <w:rsid w:val="000D5EBD"/>
    <w:rsid w:val="000D6A28"/>
    <w:rsid w:val="000E4A12"/>
    <w:rsid w:val="000F0D0B"/>
    <w:rsid w:val="000F4C0F"/>
    <w:rsid w:val="0010229F"/>
    <w:rsid w:val="0010729F"/>
    <w:rsid w:val="00107AD3"/>
    <w:rsid w:val="00110AF9"/>
    <w:rsid w:val="001113F1"/>
    <w:rsid w:val="0011255F"/>
    <w:rsid w:val="00116110"/>
    <w:rsid w:val="00122BF8"/>
    <w:rsid w:val="001309F6"/>
    <w:rsid w:val="00134B15"/>
    <w:rsid w:val="00140ECF"/>
    <w:rsid w:val="00141D79"/>
    <w:rsid w:val="0015050A"/>
    <w:rsid w:val="00150A2A"/>
    <w:rsid w:val="00152112"/>
    <w:rsid w:val="0015568E"/>
    <w:rsid w:val="00163865"/>
    <w:rsid w:val="00165DD9"/>
    <w:rsid w:val="00167380"/>
    <w:rsid w:val="00171BFB"/>
    <w:rsid w:val="001728F5"/>
    <w:rsid w:val="00177FCC"/>
    <w:rsid w:val="00182264"/>
    <w:rsid w:val="00183A47"/>
    <w:rsid w:val="0019032E"/>
    <w:rsid w:val="00190B59"/>
    <w:rsid w:val="00192B27"/>
    <w:rsid w:val="001960F8"/>
    <w:rsid w:val="001A4EEF"/>
    <w:rsid w:val="001A5401"/>
    <w:rsid w:val="001A6044"/>
    <w:rsid w:val="001A688A"/>
    <w:rsid w:val="001A7023"/>
    <w:rsid w:val="001B41DF"/>
    <w:rsid w:val="001B49BA"/>
    <w:rsid w:val="001C18C2"/>
    <w:rsid w:val="001C3CC0"/>
    <w:rsid w:val="001C45FA"/>
    <w:rsid w:val="001C4FCC"/>
    <w:rsid w:val="001C59B3"/>
    <w:rsid w:val="001C7139"/>
    <w:rsid w:val="001E1772"/>
    <w:rsid w:val="001E2E03"/>
    <w:rsid w:val="001F1012"/>
    <w:rsid w:val="001F3AD2"/>
    <w:rsid w:val="001F58C4"/>
    <w:rsid w:val="00212BCA"/>
    <w:rsid w:val="00222E84"/>
    <w:rsid w:val="00224D21"/>
    <w:rsid w:val="00231D06"/>
    <w:rsid w:val="0023317B"/>
    <w:rsid w:val="00234432"/>
    <w:rsid w:val="0023673A"/>
    <w:rsid w:val="00246171"/>
    <w:rsid w:val="00251FE4"/>
    <w:rsid w:val="002574DB"/>
    <w:rsid w:val="002577CD"/>
    <w:rsid w:val="002616B1"/>
    <w:rsid w:val="002619C4"/>
    <w:rsid w:val="00270AAC"/>
    <w:rsid w:val="00271718"/>
    <w:rsid w:val="0028422C"/>
    <w:rsid w:val="0029110D"/>
    <w:rsid w:val="0029564D"/>
    <w:rsid w:val="0029638A"/>
    <w:rsid w:val="002A1F85"/>
    <w:rsid w:val="002A5CBA"/>
    <w:rsid w:val="002B176A"/>
    <w:rsid w:val="002B2858"/>
    <w:rsid w:val="002B596E"/>
    <w:rsid w:val="002C0402"/>
    <w:rsid w:val="002C1E14"/>
    <w:rsid w:val="002C5CE8"/>
    <w:rsid w:val="002C7B8F"/>
    <w:rsid w:val="002C7C6C"/>
    <w:rsid w:val="002D3DD2"/>
    <w:rsid w:val="002F1A33"/>
    <w:rsid w:val="002F38A7"/>
    <w:rsid w:val="002F43A2"/>
    <w:rsid w:val="002F5083"/>
    <w:rsid w:val="002F7761"/>
    <w:rsid w:val="003068B9"/>
    <w:rsid w:val="003132B1"/>
    <w:rsid w:val="003137BE"/>
    <w:rsid w:val="003154E0"/>
    <w:rsid w:val="0032082F"/>
    <w:rsid w:val="00321420"/>
    <w:rsid w:val="003238A9"/>
    <w:rsid w:val="00323D0D"/>
    <w:rsid w:val="00324618"/>
    <w:rsid w:val="00326CE1"/>
    <w:rsid w:val="0032782B"/>
    <w:rsid w:val="0033335C"/>
    <w:rsid w:val="0034036F"/>
    <w:rsid w:val="0034380D"/>
    <w:rsid w:val="00343819"/>
    <w:rsid w:val="00344321"/>
    <w:rsid w:val="00344DCD"/>
    <w:rsid w:val="00345494"/>
    <w:rsid w:val="00347039"/>
    <w:rsid w:val="00350A66"/>
    <w:rsid w:val="00355E02"/>
    <w:rsid w:val="00362729"/>
    <w:rsid w:val="00380455"/>
    <w:rsid w:val="0039319B"/>
    <w:rsid w:val="00395E17"/>
    <w:rsid w:val="00397CD0"/>
    <w:rsid w:val="003A2DC5"/>
    <w:rsid w:val="003B041C"/>
    <w:rsid w:val="003B2C5D"/>
    <w:rsid w:val="003B395B"/>
    <w:rsid w:val="003B6532"/>
    <w:rsid w:val="003C281E"/>
    <w:rsid w:val="003D0007"/>
    <w:rsid w:val="003D0811"/>
    <w:rsid w:val="003D3203"/>
    <w:rsid w:val="003D4D6B"/>
    <w:rsid w:val="003E507F"/>
    <w:rsid w:val="003F36DC"/>
    <w:rsid w:val="0040015F"/>
    <w:rsid w:val="00406392"/>
    <w:rsid w:val="00407606"/>
    <w:rsid w:val="00411DC7"/>
    <w:rsid w:val="004130B7"/>
    <w:rsid w:val="00417D7C"/>
    <w:rsid w:val="00421073"/>
    <w:rsid w:val="00421B14"/>
    <w:rsid w:val="00431E50"/>
    <w:rsid w:val="004343B2"/>
    <w:rsid w:val="00444E03"/>
    <w:rsid w:val="00447133"/>
    <w:rsid w:val="004512FE"/>
    <w:rsid w:val="004544DC"/>
    <w:rsid w:val="004556FB"/>
    <w:rsid w:val="00460CEC"/>
    <w:rsid w:val="00463EF5"/>
    <w:rsid w:val="004672AC"/>
    <w:rsid w:val="0046730E"/>
    <w:rsid w:val="00470D66"/>
    <w:rsid w:val="0047175D"/>
    <w:rsid w:val="00475EEA"/>
    <w:rsid w:val="00484EF3"/>
    <w:rsid w:val="00486831"/>
    <w:rsid w:val="004870AC"/>
    <w:rsid w:val="00492920"/>
    <w:rsid w:val="00494C22"/>
    <w:rsid w:val="00496009"/>
    <w:rsid w:val="004A1EB0"/>
    <w:rsid w:val="004A1ED7"/>
    <w:rsid w:val="004A282E"/>
    <w:rsid w:val="004A331E"/>
    <w:rsid w:val="004A5A15"/>
    <w:rsid w:val="004C2476"/>
    <w:rsid w:val="004D1E99"/>
    <w:rsid w:val="004D3114"/>
    <w:rsid w:val="004D7CDE"/>
    <w:rsid w:val="004E5626"/>
    <w:rsid w:val="004F5BF9"/>
    <w:rsid w:val="005023D5"/>
    <w:rsid w:val="00511906"/>
    <w:rsid w:val="005159F8"/>
    <w:rsid w:val="00521177"/>
    <w:rsid w:val="0052621D"/>
    <w:rsid w:val="00527BBE"/>
    <w:rsid w:val="005301CB"/>
    <w:rsid w:val="00535888"/>
    <w:rsid w:val="00536CC3"/>
    <w:rsid w:val="00536E8A"/>
    <w:rsid w:val="00537ACA"/>
    <w:rsid w:val="0054577D"/>
    <w:rsid w:val="00551B30"/>
    <w:rsid w:val="00553FDD"/>
    <w:rsid w:val="00560ABA"/>
    <w:rsid w:val="00564138"/>
    <w:rsid w:val="0056635E"/>
    <w:rsid w:val="00570BEF"/>
    <w:rsid w:val="00571471"/>
    <w:rsid w:val="00575C78"/>
    <w:rsid w:val="005771C2"/>
    <w:rsid w:val="0057786B"/>
    <w:rsid w:val="00583360"/>
    <w:rsid w:val="00587392"/>
    <w:rsid w:val="00587B33"/>
    <w:rsid w:val="00596A7B"/>
    <w:rsid w:val="005A3939"/>
    <w:rsid w:val="005A6400"/>
    <w:rsid w:val="005A7E1B"/>
    <w:rsid w:val="005B0ADC"/>
    <w:rsid w:val="005B6378"/>
    <w:rsid w:val="005B66C2"/>
    <w:rsid w:val="005C0B4F"/>
    <w:rsid w:val="005C0C36"/>
    <w:rsid w:val="005C6731"/>
    <w:rsid w:val="005D3C12"/>
    <w:rsid w:val="005D62C3"/>
    <w:rsid w:val="005E078D"/>
    <w:rsid w:val="005E18BA"/>
    <w:rsid w:val="005E5685"/>
    <w:rsid w:val="005E6547"/>
    <w:rsid w:val="005E6A09"/>
    <w:rsid w:val="005F01F8"/>
    <w:rsid w:val="005F2CE7"/>
    <w:rsid w:val="005F3E66"/>
    <w:rsid w:val="005F5F89"/>
    <w:rsid w:val="006025EA"/>
    <w:rsid w:val="006052D4"/>
    <w:rsid w:val="00606427"/>
    <w:rsid w:val="0060695F"/>
    <w:rsid w:val="00607826"/>
    <w:rsid w:val="0061037D"/>
    <w:rsid w:val="006148BE"/>
    <w:rsid w:val="00626508"/>
    <w:rsid w:val="00627C80"/>
    <w:rsid w:val="00633B0B"/>
    <w:rsid w:val="00635095"/>
    <w:rsid w:val="0063667B"/>
    <w:rsid w:val="00640312"/>
    <w:rsid w:val="006437A0"/>
    <w:rsid w:val="00643A94"/>
    <w:rsid w:val="00643EB2"/>
    <w:rsid w:val="006515D3"/>
    <w:rsid w:val="00653AA7"/>
    <w:rsid w:val="00656E64"/>
    <w:rsid w:val="0066267E"/>
    <w:rsid w:val="00664F37"/>
    <w:rsid w:val="00665C45"/>
    <w:rsid w:val="00675E99"/>
    <w:rsid w:val="00681617"/>
    <w:rsid w:val="00685377"/>
    <w:rsid w:val="00695437"/>
    <w:rsid w:val="00697BBD"/>
    <w:rsid w:val="006A7554"/>
    <w:rsid w:val="006B3131"/>
    <w:rsid w:val="006B6CA3"/>
    <w:rsid w:val="006C55D5"/>
    <w:rsid w:val="006E140F"/>
    <w:rsid w:val="006E1695"/>
    <w:rsid w:val="006E6B97"/>
    <w:rsid w:val="006F24A5"/>
    <w:rsid w:val="006F2B91"/>
    <w:rsid w:val="006F6146"/>
    <w:rsid w:val="007004D8"/>
    <w:rsid w:val="007032CF"/>
    <w:rsid w:val="00706EC9"/>
    <w:rsid w:val="00707605"/>
    <w:rsid w:val="007102C0"/>
    <w:rsid w:val="0071268B"/>
    <w:rsid w:val="007163AC"/>
    <w:rsid w:val="00720B3D"/>
    <w:rsid w:val="00726FDA"/>
    <w:rsid w:val="007317AB"/>
    <w:rsid w:val="00750D8D"/>
    <w:rsid w:val="00754817"/>
    <w:rsid w:val="007607A7"/>
    <w:rsid w:val="00762080"/>
    <w:rsid w:val="007630B1"/>
    <w:rsid w:val="00775DB8"/>
    <w:rsid w:val="00780180"/>
    <w:rsid w:val="007805D2"/>
    <w:rsid w:val="007822AE"/>
    <w:rsid w:val="007858E0"/>
    <w:rsid w:val="00786496"/>
    <w:rsid w:val="00791D2F"/>
    <w:rsid w:val="0079485A"/>
    <w:rsid w:val="00794DAF"/>
    <w:rsid w:val="00795C86"/>
    <w:rsid w:val="007A16EC"/>
    <w:rsid w:val="007A6EED"/>
    <w:rsid w:val="007B4E73"/>
    <w:rsid w:val="007B56B3"/>
    <w:rsid w:val="007C003B"/>
    <w:rsid w:val="007C54CF"/>
    <w:rsid w:val="007C6108"/>
    <w:rsid w:val="007C6D40"/>
    <w:rsid w:val="007D1ABC"/>
    <w:rsid w:val="007D432B"/>
    <w:rsid w:val="007E41A8"/>
    <w:rsid w:val="007F59D3"/>
    <w:rsid w:val="00801C4D"/>
    <w:rsid w:val="0080207D"/>
    <w:rsid w:val="0080702D"/>
    <w:rsid w:val="00810975"/>
    <w:rsid w:val="00821017"/>
    <w:rsid w:val="008248F8"/>
    <w:rsid w:val="00830673"/>
    <w:rsid w:val="00837B63"/>
    <w:rsid w:val="00837C33"/>
    <w:rsid w:val="008413C8"/>
    <w:rsid w:val="0084207F"/>
    <w:rsid w:val="00847A54"/>
    <w:rsid w:val="00850BA1"/>
    <w:rsid w:val="00854A90"/>
    <w:rsid w:val="00857193"/>
    <w:rsid w:val="00862CF5"/>
    <w:rsid w:val="0088501E"/>
    <w:rsid w:val="00885933"/>
    <w:rsid w:val="00885BF3"/>
    <w:rsid w:val="00891113"/>
    <w:rsid w:val="008A1661"/>
    <w:rsid w:val="008A777D"/>
    <w:rsid w:val="008B0D11"/>
    <w:rsid w:val="008B3326"/>
    <w:rsid w:val="008B3E7F"/>
    <w:rsid w:val="008C0EC9"/>
    <w:rsid w:val="008C28DE"/>
    <w:rsid w:val="008C2F0D"/>
    <w:rsid w:val="008C419A"/>
    <w:rsid w:val="008D0410"/>
    <w:rsid w:val="008D0438"/>
    <w:rsid w:val="008D716A"/>
    <w:rsid w:val="008E549E"/>
    <w:rsid w:val="008E6878"/>
    <w:rsid w:val="008F0308"/>
    <w:rsid w:val="008F0AD0"/>
    <w:rsid w:val="008F5965"/>
    <w:rsid w:val="0090501C"/>
    <w:rsid w:val="00906865"/>
    <w:rsid w:val="00906992"/>
    <w:rsid w:val="00916D7D"/>
    <w:rsid w:val="00917DF2"/>
    <w:rsid w:val="009210E5"/>
    <w:rsid w:val="00922108"/>
    <w:rsid w:val="0092741E"/>
    <w:rsid w:val="00933A63"/>
    <w:rsid w:val="0094255E"/>
    <w:rsid w:val="0094294D"/>
    <w:rsid w:val="00944851"/>
    <w:rsid w:val="0094549A"/>
    <w:rsid w:val="00945E1D"/>
    <w:rsid w:val="0095116C"/>
    <w:rsid w:val="00963FB2"/>
    <w:rsid w:val="00975DEE"/>
    <w:rsid w:val="00987DDA"/>
    <w:rsid w:val="009932C1"/>
    <w:rsid w:val="009945BE"/>
    <w:rsid w:val="009A1D0C"/>
    <w:rsid w:val="009A296F"/>
    <w:rsid w:val="009B49C8"/>
    <w:rsid w:val="009C6B60"/>
    <w:rsid w:val="009C7A44"/>
    <w:rsid w:val="009D3C23"/>
    <w:rsid w:val="009E1A54"/>
    <w:rsid w:val="009F0A16"/>
    <w:rsid w:val="009F5E4B"/>
    <w:rsid w:val="009F6636"/>
    <w:rsid w:val="009F7872"/>
    <w:rsid w:val="00A004B4"/>
    <w:rsid w:val="00A005B7"/>
    <w:rsid w:val="00A0161B"/>
    <w:rsid w:val="00A11A39"/>
    <w:rsid w:val="00A148E5"/>
    <w:rsid w:val="00A14963"/>
    <w:rsid w:val="00A23A63"/>
    <w:rsid w:val="00A23E27"/>
    <w:rsid w:val="00A252D3"/>
    <w:rsid w:val="00A30EA0"/>
    <w:rsid w:val="00A36A9F"/>
    <w:rsid w:val="00A549AA"/>
    <w:rsid w:val="00A57CB5"/>
    <w:rsid w:val="00A62165"/>
    <w:rsid w:val="00A66BA7"/>
    <w:rsid w:val="00A71E70"/>
    <w:rsid w:val="00A749BF"/>
    <w:rsid w:val="00A77830"/>
    <w:rsid w:val="00A801F1"/>
    <w:rsid w:val="00A835C8"/>
    <w:rsid w:val="00A840E3"/>
    <w:rsid w:val="00A845E0"/>
    <w:rsid w:val="00A8636A"/>
    <w:rsid w:val="00A9403E"/>
    <w:rsid w:val="00A96AC1"/>
    <w:rsid w:val="00AA0B58"/>
    <w:rsid w:val="00AA28BC"/>
    <w:rsid w:val="00AA4AA0"/>
    <w:rsid w:val="00AA4CCD"/>
    <w:rsid w:val="00AB001D"/>
    <w:rsid w:val="00AB087B"/>
    <w:rsid w:val="00AB3404"/>
    <w:rsid w:val="00AB48A4"/>
    <w:rsid w:val="00AC0C63"/>
    <w:rsid w:val="00AC2949"/>
    <w:rsid w:val="00AC3332"/>
    <w:rsid w:val="00AC39B4"/>
    <w:rsid w:val="00AD0E2C"/>
    <w:rsid w:val="00AD3663"/>
    <w:rsid w:val="00AD3DAB"/>
    <w:rsid w:val="00AD4192"/>
    <w:rsid w:val="00AE0215"/>
    <w:rsid w:val="00AE5C11"/>
    <w:rsid w:val="00AF3566"/>
    <w:rsid w:val="00AF3F40"/>
    <w:rsid w:val="00B02462"/>
    <w:rsid w:val="00B02AF4"/>
    <w:rsid w:val="00B10B4D"/>
    <w:rsid w:val="00B14ABA"/>
    <w:rsid w:val="00B15D80"/>
    <w:rsid w:val="00B21736"/>
    <w:rsid w:val="00B27EC3"/>
    <w:rsid w:val="00B35DB1"/>
    <w:rsid w:val="00B36AAB"/>
    <w:rsid w:val="00B374C6"/>
    <w:rsid w:val="00B43123"/>
    <w:rsid w:val="00B55015"/>
    <w:rsid w:val="00B563D5"/>
    <w:rsid w:val="00B66499"/>
    <w:rsid w:val="00B670A9"/>
    <w:rsid w:val="00B72133"/>
    <w:rsid w:val="00B7355A"/>
    <w:rsid w:val="00B74F8D"/>
    <w:rsid w:val="00B75613"/>
    <w:rsid w:val="00B76510"/>
    <w:rsid w:val="00B82C48"/>
    <w:rsid w:val="00B866E3"/>
    <w:rsid w:val="00B925DE"/>
    <w:rsid w:val="00B938F8"/>
    <w:rsid w:val="00BA3EA2"/>
    <w:rsid w:val="00BA5DD3"/>
    <w:rsid w:val="00BA5F43"/>
    <w:rsid w:val="00BA7AD9"/>
    <w:rsid w:val="00BB32B5"/>
    <w:rsid w:val="00BB380F"/>
    <w:rsid w:val="00BB3956"/>
    <w:rsid w:val="00BB4FA0"/>
    <w:rsid w:val="00BB56D6"/>
    <w:rsid w:val="00BB5764"/>
    <w:rsid w:val="00BC0248"/>
    <w:rsid w:val="00BC3F19"/>
    <w:rsid w:val="00BC5365"/>
    <w:rsid w:val="00BC5AE2"/>
    <w:rsid w:val="00BC6C83"/>
    <w:rsid w:val="00BD12F7"/>
    <w:rsid w:val="00BD2B81"/>
    <w:rsid w:val="00BD5300"/>
    <w:rsid w:val="00BE1943"/>
    <w:rsid w:val="00BE23DF"/>
    <w:rsid w:val="00BE3415"/>
    <w:rsid w:val="00BE6C42"/>
    <w:rsid w:val="00BF134A"/>
    <w:rsid w:val="00C00941"/>
    <w:rsid w:val="00C0109F"/>
    <w:rsid w:val="00C01A9A"/>
    <w:rsid w:val="00C14150"/>
    <w:rsid w:val="00C319ED"/>
    <w:rsid w:val="00C341F4"/>
    <w:rsid w:val="00C4168C"/>
    <w:rsid w:val="00C42060"/>
    <w:rsid w:val="00C43DFD"/>
    <w:rsid w:val="00C44675"/>
    <w:rsid w:val="00C51B15"/>
    <w:rsid w:val="00C714B0"/>
    <w:rsid w:val="00C76E99"/>
    <w:rsid w:val="00C80152"/>
    <w:rsid w:val="00C81EAE"/>
    <w:rsid w:val="00C85348"/>
    <w:rsid w:val="00C900E8"/>
    <w:rsid w:val="00C91FFC"/>
    <w:rsid w:val="00C96D0A"/>
    <w:rsid w:val="00C9765F"/>
    <w:rsid w:val="00C9789D"/>
    <w:rsid w:val="00CA1E74"/>
    <w:rsid w:val="00CA2164"/>
    <w:rsid w:val="00CB2115"/>
    <w:rsid w:val="00CB46BD"/>
    <w:rsid w:val="00CC35D4"/>
    <w:rsid w:val="00CD05F6"/>
    <w:rsid w:val="00CD0CA2"/>
    <w:rsid w:val="00CD5315"/>
    <w:rsid w:val="00CE14F5"/>
    <w:rsid w:val="00CE4612"/>
    <w:rsid w:val="00CE602F"/>
    <w:rsid w:val="00CE6CC1"/>
    <w:rsid w:val="00CF03D5"/>
    <w:rsid w:val="00CF2D97"/>
    <w:rsid w:val="00CF3ED4"/>
    <w:rsid w:val="00CF5448"/>
    <w:rsid w:val="00D057CF"/>
    <w:rsid w:val="00D05CDA"/>
    <w:rsid w:val="00D117C6"/>
    <w:rsid w:val="00D135C4"/>
    <w:rsid w:val="00D15D1B"/>
    <w:rsid w:val="00D214BB"/>
    <w:rsid w:val="00D237EF"/>
    <w:rsid w:val="00D238A6"/>
    <w:rsid w:val="00D26E33"/>
    <w:rsid w:val="00D33FDB"/>
    <w:rsid w:val="00D34DDD"/>
    <w:rsid w:val="00D3633B"/>
    <w:rsid w:val="00D3761A"/>
    <w:rsid w:val="00D46B2A"/>
    <w:rsid w:val="00D4719E"/>
    <w:rsid w:val="00D475AD"/>
    <w:rsid w:val="00D538BB"/>
    <w:rsid w:val="00D61E94"/>
    <w:rsid w:val="00D63B73"/>
    <w:rsid w:val="00D642A8"/>
    <w:rsid w:val="00D72134"/>
    <w:rsid w:val="00D72AF9"/>
    <w:rsid w:val="00D733AA"/>
    <w:rsid w:val="00D74043"/>
    <w:rsid w:val="00D74326"/>
    <w:rsid w:val="00D77A33"/>
    <w:rsid w:val="00D8062D"/>
    <w:rsid w:val="00D81B28"/>
    <w:rsid w:val="00D8459F"/>
    <w:rsid w:val="00D84BE8"/>
    <w:rsid w:val="00D84FA3"/>
    <w:rsid w:val="00D863F7"/>
    <w:rsid w:val="00DA5D97"/>
    <w:rsid w:val="00DB400D"/>
    <w:rsid w:val="00DB6C15"/>
    <w:rsid w:val="00DB7C92"/>
    <w:rsid w:val="00DC4569"/>
    <w:rsid w:val="00DC5DE0"/>
    <w:rsid w:val="00DC68A3"/>
    <w:rsid w:val="00DD120E"/>
    <w:rsid w:val="00DE0663"/>
    <w:rsid w:val="00DE2C43"/>
    <w:rsid w:val="00DE5634"/>
    <w:rsid w:val="00DF30BA"/>
    <w:rsid w:val="00DF663A"/>
    <w:rsid w:val="00DF673F"/>
    <w:rsid w:val="00DF6EE2"/>
    <w:rsid w:val="00DF78AE"/>
    <w:rsid w:val="00E0702C"/>
    <w:rsid w:val="00E0775E"/>
    <w:rsid w:val="00E106BE"/>
    <w:rsid w:val="00E10D38"/>
    <w:rsid w:val="00E11F46"/>
    <w:rsid w:val="00E14170"/>
    <w:rsid w:val="00E16D1A"/>
    <w:rsid w:val="00E20158"/>
    <w:rsid w:val="00E20843"/>
    <w:rsid w:val="00E20C16"/>
    <w:rsid w:val="00E25C99"/>
    <w:rsid w:val="00E27803"/>
    <w:rsid w:val="00E41881"/>
    <w:rsid w:val="00E454D6"/>
    <w:rsid w:val="00E46A6D"/>
    <w:rsid w:val="00E5673A"/>
    <w:rsid w:val="00E66C37"/>
    <w:rsid w:val="00E6790B"/>
    <w:rsid w:val="00E70C98"/>
    <w:rsid w:val="00E75008"/>
    <w:rsid w:val="00E76EAC"/>
    <w:rsid w:val="00E83260"/>
    <w:rsid w:val="00E83697"/>
    <w:rsid w:val="00E86032"/>
    <w:rsid w:val="00E8793C"/>
    <w:rsid w:val="00E87C37"/>
    <w:rsid w:val="00E94A04"/>
    <w:rsid w:val="00E954CD"/>
    <w:rsid w:val="00EA0432"/>
    <w:rsid w:val="00EA1E1E"/>
    <w:rsid w:val="00EA5466"/>
    <w:rsid w:val="00EA68FC"/>
    <w:rsid w:val="00EB28B9"/>
    <w:rsid w:val="00EB3AAB"/>
    <w:rsid w:val="00EB7472"/>
    <w:rsid w:val="00EC4853"/>
    <w:rsid w:val="00ED13D3"/>
    <w:rsid w:val="00ED1E9A"/>
    <w:rsid w:val="00ED4963"/>
    <w:rsid w:val="00ED5648"/>
    <w:rsid w:val="00ED6BBE"/>
    <w:rsid w:val="00ED7961"/>
    <w:rsid w:val="00ED7C32"/>
    <w:rsid w:val="00EE4278"/>
    <w:rsid w:val="00EE6228"/>
    <w:rsid w:val="00EE6A56"/>
    <w:rsid w:val="00EE7AB3"/>
    <w:rsid w:val="00EF14BF"/>
    <w:rsid w:val="00EF154B"/>
    <w:rsid w:val="00EF1700"/>
    <w:rsid w:val="00EF4CAC"/>
    <w:rsid w:val="00EF796A"/>
    <w:rsid w:val="00F00164"/>
    <w:rsid w:val="00F010A0"/>
    <w:rsid w:val="00F02070"/>
    <w:rsid w:val="00F03067"/>
    <w:rsid w:val="00F050AD"/>
    <w:rsid w:val="00F07CDF"/>
    <w:rsid w:val="00F122BF"/>
    <w:rsid w:val="00F3075E"/>
    <w:rsid w:val="00F35C61"/>
    <w:rsid w:val="00F3601D"/>
    <w:rsid w:val="00F464F9"/>
    <w:rsid w:val="00F522B1"/>
    <w:rsid w:val="00F52767"/>
    <w:rsid w:val="00F53979"/>
    <w:rsid w:val="00F578DD"/>
    <w:rsid w:val="00F61C8F"/>
    <w:rsid w:val="00F61F72"/>
    <w:rsid w:val="00F62C39"/>
    <w:rsid w:val="00F66B1C"/>
    <w:rsid w:val="00F67816"/>
    <w:rsid w:val="00F76BB6"/>
    <w:rsid w:val="00F80236"/>
    <w:rsid w:val="00F8139C"/>
    <w:rsid w:val="00F83B12"/>
    <w:rsid w:val="00F851D1"/>
    <w:rsid w:val="00F934AE"/>
    <w:rsid w:val="00F97481"/>
    <w:rsid w:val="00FB4734"/>
    <w:rsid w:val="00FB5218"/>
    <w:rsid w:val="00FB5FBA"/>
    <w:rsid w:val="00FB6527"/>
    <w:rsid w:val="00FB7F16"/>
    <w:rsid w:val="00FC5BC3"/>
    <w:rsid w:val="00FE6AF2"/>
    <w:rsid w:val="00FF163A"/>
    <w:rsid w:val="34E67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1558F"/>
  <w15:chartTrackingRefBased/>
  <w15:docId w15:val="{27C42AB4-D178-424F-9C34-A092B9BD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er" w:uiPriority="99"/>
    <w:lsdException w:name="footer" w:uiPriority="99"/>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538BB"/>
    <w:pPr>
      <w:numPr>
        <w:numId w:val="11"/>
      </w:numPr>
    </w:pPr>
  </w:style>
  <w:style w:type="numbering" w:styleId="1ai">
    <w:name w:val="Outline List 1"/>
    <w:basedOn w:val="NoList"/>
    <w:semiHidden/>
    <w:rsid w:val="00D538BB"/>
    <w:pPr>
      <w:numPr>
        <w:numId w:val="12"/>
      </w:numPr>
    </w:pPr>
  </w:style>
  <w:style w:type="numbering" w:styleId="ArticleSection">
    <w:name w:val="Outline List 3"/>
    <w:basedOn w:val="NoList"/>
    <w:semiHidden/>
    <w:rsid w:val="00D538BB"/>
    <w:pPr>
      <w:numPr>
        <w:numId w:val="13"/>
      </w:numPr>
    </w:pPr>
  </w:style>
  <w:style w:type="paragraph" w:styleId="BlockText">
    <w:name w:val="Block Text"/>
    <w:basedOn w:val="Normal"/>
    <w:semiHidden/>
    <w:rsid w:val="00D538BB"/>
    <w:pPr>
      <w:ind w:left="1440" w:right="1440"/>
    </w:pPr>
  </w:style>
  <w:style w:type="paragraph" w:styleId="BodyText">
    <w:name w:val="Body Text"/>
    <w:basedOn w:val="Normal"/>
    <w:semiHidden/>
    <w:rsid w:val="00D538BB"/>
  </w:style>
  <w:style w:type="paragraph" w:styleId="BodyText2">
    <w:name w:val="Body Text 2"/>
    <w:basedOn w:val="Normal"/>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rsid w:val="00D538BB"/>
    <w:rPr>
      <w:i/>
      <w:iCs/>
    </w:rPr>
  </w:style>
  <w:style w:type="paragraph" w:styleId="EnvelopeAddress">
    <w:name w:val="envelope address"/>
    <w:basedOn w:val="Normal"/>
    <w:semiHidden/>
    <w:rsid w:val="00D538BB"/>
    <w:pPr>
      <w:framePr w:w="7920" w:h="1980" w:hRule="exact" w:hSpace="180" w:wrap="auto" w:hAnchor="page" w:xAlign="center" w:yAlign="bottom"/>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link w:val="HeaderChar"/>
    <w:uiPriority w:val="99"/>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semiHidden/>
    <w:rsid w:val="00D538BB"/>
    <w:rPr>
      <w:i/>
      <w:iCs/>
    </w:rPr>
  </w:style>
  <w:style w:type="character" w:styleId="HTMLCode">
    <w:name w:val="HTML Code"/>
    <w:semiHidden/>
    <w:rsid w:val="00D538BB"/>
    <w:rPr>
      <w:rFonts w:ascii="Courier New" w:hAnsi="Courier New" w:cs="Courier New"/>
      <w:sz w:val="20"/>
      <w:szCs w:val="20"/>
    </w:rPr>
  </w:style>
  <w:style w:type="character" w:styleId="HTMLDefinition">
    <w:name w:val="HTML Definition"/>
    <w:semiHidden/>
    <w:rsid w:val="00D538BB"/>
    <w:rPr>
      <w:i/>
      <w:iCs/>
    </w:rPr>
  </w:style>
  <w:style w:type="character" w:styleId="HTMLKeyboard">
    <w:name w:val="HTML Keyboard"/>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semiHidden/>
    <w:rsid w:val="00D538BB"/>
    <w:rPr>
      <w:rFonts w:ascii="Courier New" w:hAnsi="Courier New" w:cs="Courier New"/>
    </w:rPr>
  </w:style>
  <w:style w:type="character" w:styleId="HTMLTypewriter">
    <w:name w:val="HTML Typewriter"/>
    <w:semiHidden/>
    <w:rsid w:val="00D538BB"/>
    <w:rPr>
      <w:rFonts w:ascii="Courier New" w:hAnsi="Courier New" w:cs="Courier New"/>
      <w:sz w:val="20"/>
      <w:szCs w:val="20"/>
    </w:rPr>
  </w:style>
  <w:style w:type="character" w:styleId="HTMLVariable">
    <w:name w:val="HTML Variable"/>
    <w:semiHidden/>
    <w:rsid w:val="00D538BB"/>
    <w:rPr>
      <w:i/>
      <w:iCs/>
    </w:rPr>
  </w:style>
  <w:style w:type="character" w:styleId="Hyperlink">
    <w:name w:val="Hyperlink"/>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1"/>
      </w:numPr>
    </w:pPr>
  </w:style>
  <w:style w:type="paragraph" w:styleId="ListBullet2">
    <w:name w:val="List Bullet 2"/>
    <w:basedOn w:val="Normal"/>
    <w:semiHidden/>
    <w:rsid w:val="00D538BB"/>
    <w:pPr>
      <w:numPr>
        <w:numId w:val="2"/>
      </w:numPr>
    </w:pPr>
  </w:style>
  <w:style w:type="paragraph" w:styleId="ListBullet3">
    <w:name w:val="List Bullet 3"/>
    <w:basedOn w:val="Normal"/>
    <w:semiHidden/>
    <w:rsid w:val="00D538BB"/>
    <w:pPr>
      <w:numPr>
        <w:numId w:val="3"/>
      </w:numPr>
    </w:pPr>
  </w:style>
  <w:style w:type="paragraph" w:styleId="ListBullet4">
    <w:name w:val="List Bullet 4"/>
    <w:basedOn w:val="Normal"/>
    <w:semiHidden/>
    <w:rsid w:val="00D538BB"/>
    <w:pPr>
      <w:numPr>
        <w:numId w:val="4"/>
      </w:numPr>
    </w:pPr>
  </w:style>
  <w:style w:type="paragraph" w:styleId="ListBullet5">
    <w:name w:val="List Bullet 5"/>
    <w:basedOn w:val="Normal"/>
    <w:semiHidden/>
    <w:rsid w:val="00D538BB"/>
    <w:pPr>
      <w:numPr>
        <w:numId w:val="5"/>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6"/>
      </w:numPr>
    </w:pPr>
  </w:style>
  <w:style w:type="paragraph" w:styleId="ListNumber2">
    <w:name w:val="List Number 2"/>
    <w:basedOn w:val="Normal"/>
    <w:semiHidden/>
    <w:rsid w:val="00D538BB"/>
    <w:pPr>
      <w:numPr>
        <w:numId w:val="7"/>
      </w:numPr>
    </w:pPr>
  </w:style>
  <w:style w:type="paragraph" w:styleId="ListNumber3">
    <w:name w:val="List Number 3"/>
    <w:basedOn w:val="Normal"/>
    <w:semiHidden/>
    <w:rsid w:val="00D538BB"/>
    <w:pPr>
      <w:numPr>
        <w:numId w:val="8"/>
      </w:numPr>
    </w:pPr>
  </w:style>
  <w:style w:type="paragraph" w:styleId="ListNumber4">
    <w:name w:val="List Number 4"/>
    <w:basedOn w:val="Normal"/>
    <w:semiHidden/>
    <w:rsid w:val="00D538BB"/>
    <w:pPr>
      <w:numPr>
        <w:numId w:val="9"/>
      </w:numPr>
    </w:pPr>
  </w:style>
  <w:style w:type="paragraph" w:styleId="ListNumber5">
    <w:name w:val="List Number 5"/>
    <w:basedOn w:val="Normal"/>
    <w:semiHidden/>
    <w:rsid w:val="00D538BB"/>
    <w:pPr>
      <w:numPr>
        <w:numId w:val="10"/>
      </w:numPr>
    </w:pPr>
  </w:style>
  <w:style w:type="paragraph" w:styleId="MessageHeader">
    <w:name w:val="Message Header"/>
    <w:basedOn w:val="Normal"/>
    <w:semiHidden/>
    <w:rsid w:val="00D538B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38BB"/>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38BB"/>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38BB"/>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D538BB"/>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D538BB"/>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D538BB"/>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38BB"/>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38BB"/>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38BB"/>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38BB"/>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38BB"/>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38BB"/>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38BB"/>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38BB"/>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38BB"/>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38BB"/>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38BB"/>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38BB"/>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38B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538BB"/>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38BB"/>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38BB"/>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1"/>
    <w:qFormat/>
    <w:rsid w:val="005A3939"/>
  </w:style>
  <w:style w:type="paragraph" w:customStyle="1" w:styleId="Bulletedlist">
    <w:name w:val="Bulleted list"/>
    <w:basedOn w:val="Normal"/>
    <w:link w:val="BulletedlistChar"/>
    <w:rsid w:val="00F61F72"/>
    <w:pPr>
      <w:numPr>
        <w:numId w:val="14"/>
      </w:numPr>
      <w:contextualSpacing/>
    </w:pPr>
  </w:style>
  <w:style w:type="character" w:customStyle="1" w:styleId="BodytextChar">
    <w:name w:val="Body text Char"/>
    <w:link w:val="BodyText1"/>
    <w:rsid w:val="003154E0"/>
    <w:rPr>
      <w:rFonts w:ascii="Arial" w:hAnsi="Arial"/>
      <w:sz w:val="22"/>
      <w:szCs w:val="24"/>
      <w:lang w:val="en-US" w:eastAsia="en-US" w:bidi="ar-SA"/>
    </w:rPr>
  </w:style>
  <w:style w:type="character" w:customStyle="1" w:styleId="Heading2Char">
    <w:name w:val="Heading 2 Char"/>
    <w:link w:val="Heading2"/>
    <w:rsid w:val="00E16D1A"/>
    <w:rPr>
      <w:rFonts w:ascii="Arial" w:hAnsi="Arial"/>
      <w:b/>
      <w:sz w:val="26"/>
      <w:szCs w:val="24"/>
      <w:lang w:val="en-US" w:eastAsia="en-US" w:bidi="ar-SA"/>
    </w:rPr>
  </w:style>
  <w:style w:type="character" w:customStyle="1" w:styleId="Heading1Char">
    <w:name w:val="Heading 1 Char"/>
    <w:link w:val="Heading1"/>
    <w:rsid w:val="00DE2C43"/>
    <w:rPr>
      <w:rFonts w:ascii="Arial" w:hAnsi="Arial"/>
      <w:b/>
      <w:sz w:val="32"/>
      <w:szCs w:val="28"/>
      <w:lang w:val="en-US" w:eastAsia="en-US" w:bidi="ar-SA"/>
    </w:rPr>
  </w:style>
  <w:style w:type="paragraph" w:customStyle="1" w:styleId="Onlyuseindocheader-doctitle">
    <w:name w:val="Only use in doc header - doc title"/>
    <w:link w:val="Onlyuseindocheader-doctitleChar"/>
    <w:qFormat/>
    <w:rsid w:val="000C1AA8"/>
    <w:pPr>
      <w:spacing w:before="160" w:after="40" w:line="600" w:lineRule="exact"/>
    </w:pPr>
    <w:rPr>
      <w:rFonts w:ascii="Arial" w:hAnsi="Arial"/>
      <w:sz w:val="64"/>
      <w:szCs w:val="64"/>
      <w:lang w:val="en-US" w:eastAsia="en-US"/>
    </w:rPr>
  </w:style>
  <w:style w:type="paragraph" w:customStyle="1" w:styleId="Onlyuseindocheader-categorystyle">
    <w:name w:val="Only use in doc header - category style"/>
    <w:qFormat/>
    <w:rsid w:val="0066267E"/>
    <w:rPr>
      <w:rFonts w:ascii="Arial" w:hAnsi="Arial"/>
      <w:color w:val="FF0000"/>
      <w:sz w:val="24"/>
      <w:szCs w:val="24"/>
      <w:lang w:val="en-US" w:eastAsia="en-US"/>
    </w:rPr>
  </w:style>
  <w:style w:type="paragraph" w:customStyle="1" w:styleId="Onlyuseindocheader-subtitleifneeded">
    <w:name w:val="Only use in doc header  - subtitle if needed"/>
    <w:link w:val="Onlyuseindocheader-subtitleifneededChar"/>
    <w:qFormat/>
    <w:rsid w:val="00ED4963"/>
    <w:rPr>
      <w:rFonts w:ascii="Arial" w:hAnsi="Arial"/>
      <w:sz w:val="28"/>
      <w:szCs w:val="28"/>
      <w:lang w:val="en-US" w:eastAsia="en-US"/>
    </w:rPr>
  </w:style>
  <w:style w:type="paragraph" w:customStyle="1" w:styleId="BodyText1">
    <w:name w:val="Body Text1"/>
    <w:link w:val="BodytextChar"/>
    <w:rsid w:val="00095AF4"/>
    <w:pPr>
      <w:spacing w:after="120" w:line="288" w:lineRule="auto"/>
    </w:pPr>
    <w:rPr>
      <w:rFonts w:ascii="Arial" w:hAnsi="Arial"/>
      <w:sz w:val="22"/>
      <w:szCs w:val="24"/>
      <w:lang w:val="en-US" w:eastAsia="en-US"/>
    </w:rPr>
  </w:style>
  <w:style w:type="character" w:customStyle="1" w:styleId="Onlyuseindocheader-doctitleChar">
    <w:name w:val="Only use in doc header - doc title Char"/>
    <w:link w:val="Onlyuseindocheader-doctitle"/>
    <w:rsid w:val="00AC3332"/>
    <w:rPr>
      <w:rFonts w:ascii="Arial" w:hAnsi="Arial"/>
      <w:sz w:val="64"/>
      <w:szCs w:val="64"/>
      <w:lang w:val="en-US" w:eastAsia="en-US" w:bidi="ar-SA"/>
    </w:rPr>
  </w:style>
  <w:style w:type="paragraph" w:customStyle="1" w:styleId="Numberedlist">
    <w:name w:val="Numbered list"/>
    <w:basedOn w:val="Bulletedlist"/>
    <w:link w:val="NumberedlistChar"/>
    <w:qFormat/>
    <w:rsid w:val="0060695F"/>
    <w:pPr>
      <w:numPr>
        <w:numId w:val="15"/>
      </w:numPr>
    </w:pPr>
  </w:style>
  <w:style w:type="character" w:customStyle="1" w:styleId="Onlyuseindocheader-subtitleifneededChar">
    <w:name w:val="Only use in doc header  - subtitle if needed Char"/>
    <w:link w:val="Onlyuseindocheader-subtitleifneeded"/>
    <w:rsid w:val="00AC3332"/>
    <w:rPr>
      <w:rFonts w:ascii="Arial" w:hAnsi="Arial"/>
      <w:sz w:val="28"/>
      <w:szCs w:val="28"/>
      <w:lang w:val="en-US" w:eastAsia="en-US" w:bidi="ar-SA"/>
    </w:rPr>
  </w:style>
  <w:style w:type="character" w:customStyle="1" w:styleId="BulletedlistChar">
    <w:name w:val="Bulleted list Char"/>
    <w:link w:val="Bulletedlist"/>
    <w:rsid w:val="0060695F"/>
    <w:rPr>
      <w:rFonts w:ascii="Arial" w:hAnsi="Arial"/>
      <w:sz w:val="22"/>
      <w:szCs w:val="24"/>
      <w:lang w:val="en-US" w:eastAsia="en-US"/>
    </w:rPr>
  </w:style>
  <w:style w:type="paragraph" w:customStyle="1" w:styleId="Speakerdetails">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customStyle="1" w:styleId="NumberedlistChar">
    <w:name w:val="Numbered list Char"/>
    <w:link w:val="Numberedlist"/>
    <w:rsid w:val="0060695F"/>
    <w:rPr>
      <w:rFonts w:ascii="Arial" w:hAnsi="Arial"/>
      <w:sz w:val="22"/>
      <w:szCs w:val="24"/>
      <w:lang w:val="en-US" w:eastAsia="en-US"/>
    </w:rPr>
  </w:style>
  <w:style w:type="character" w:customStyle="1" w:styleId="SpeakerdetailsChar">
    <w:name w:val="Speaker details Char"/>
    <w:link w:val="Speakerdetails"/>
    <w:rsid w:val="002574DB"/>
    <w:rPr>
      <w:rFonts w:ascii="Arial" w:hAnsi="Arial"/>
      <w:sz w:val="18"/>
      <w:szCs w:val="18"/>
      <w:lang w:val="en-US" w:eastAsia="en-US" w:bidi="ar-SA"/>
    </w:rPr>
  </w:style>
  <w:style w:type="paragraph" w:customStyle="1" w:styleId="pnum">
    <w:name w:val="pnum"/>
    <w:basedOn w:val="Title"/>
    <w:rsid w:val="00AD4192"/>
    <w:pPr>
      <w:tabs>
        <w:tab w:val="right" w:pos="2070"/>
      </w:tabs>
      <w:overflowPunct w:val="0"/>
      <w:autoSpaceDE w:val="0"/>
      <w:autoSpaceDN w:val="0"/>
      <w:adjustRightInd w:val="0"/>
      <w:spacing w:before="0" w:after="0" w:line="240" w:lineRule="auto"/>
      <w:jc w:val="right"/>
      <w:textAlignment w:val="baseline"/>
      <w:outlineLvl w:val="9"/>
    </w:pPr>
    <w:rPr>
      <w:sz w:val="26"/>
      <w:szCs w:val="20"/>
      <w:lang w:val="en-GB"/>
    </w:rPr>
  </w:style>
  <w:style w:type="paragraph" w:customStyle="1" w:styleId="n">
    <w:name w:val="n"/>
    <w:basedOn w:val="Normal"/>
    <w:rsid w:val="00AD4192"/>
    <w:pPr>
      <w:numPr>
        <w:numId w:val="16"/>
      </w:numPr>
      <w:tabs>
        <w:tab w:val="right" w:pos="8959"/>
      </w:tabs>
      <w:overflowPunct w:val="0"/>
      <w:autoSpaceDE w:val="0"/>
      <w:autoSpaceDN w:val="0"/>
      <w:adjustRightInd w:val="0"/>
      <w:spacing w:before="240" w:after="0" w:line="240" w:lineRule="auto"/>
      <w:jc w:val="both"/>
      <w:textAlignment w:val="baseline"/>
    </w:pPr>
    <w:rPr>
      <w:sz w:val="24"/>
      <w:szCs w:val="20"/>
      <w:lang w:val="en-GB"/>
    </w:rPr>
  </w:style>
  <w:style w:type="paragraph" w:styleId="ListParagraph">
    <w:name w:val="List Paragraph"/>
    <w:basedOn w:val="Normal"/>
    <w:link w:val="ListParagraphChar"/>
    <w:uiPriority w:val="34"/>
    <w:qFormat/>
    <w:rsid w:val="00BC0248"/>
    <w:pPr>
      <w:ind w:left="720"/>
      <w:contextualSpacing/>
    </w:pPr>
  </w:style>
  <w:style w:type="paragraph" w:styleId="BalloonText">
    <w:name w:val="Balloon Text"/>
    <w:basedOn w:val="Normal"/>
    <w:link w:val="BalloonTextChar"/>
    <w:rsid w:val="002C7C6C"/>
    <w:pPr>
      <w:spacing w:after="0" w:line="240" w:lineRule="auto"/>
    </w:pPr>
    <w:rPr>
      <w:rFonts w:ascii="Tahoma" w:hAnsi="Tahoma" w:cs="Tahoma"/>
      <w:sz w:val="16"/>
      <w:szCs w:val="16"/>
    </w:rPr>
  </w:style>
  <w:style w:type="character" w:customStyle="1" w:styleId="BalloonTextChar">
    <w:name w:val="Balloon Text Char"/>
    <w:link w:val="BalloonText"/>
    <w:rsid w:val="002C7C6C"/>
    <w:rPr>
      <w:rFonts w:ascii="Tahoma" w:hAnsi="Tahoma" w:cs="Tahoma"/>
      <w:sz w:val="16"/>
      <w:szCs w:val="16"/>
      <w:lang w:val="en-US" w:eastAsia="en-US"/>
    </w:rPr>
  </w:style>
  <w:style w:type="paragraph" w:styleId="FootnoteText">
    <w:name w:val="footnote text"/>
    <w:basedOn w:val="Normal"/>
    <w:link w:val="FootnoteTextChar"/>
    <w:rsid w:val="00ED5648"/>
    <w:pPr>
      <w:spacing w:after="0" w:line="240" w:lineRule="auto"/>
    </w:pPr>
    <w:rPr>
      <w:sz w:val="20"/>
      <w:szCs w:val="20"/>
    </w:rPr>
  </w:style>
  <w:style w:type="character" w:customStyle="1" w:styleId="FootnoteTextChar">
    <w:name w:val="Footnote Text Char"/>
    <w:link w:val="FootnoteText"/>
    <w:rsid w:val="00ED5648"/>
    <w:rPr>
      <w:rFonts w:ascii="Arial" w:hAnsi="Arial"/>
      <w:lang w:val="en-US" w:eastAsia="en-US"/>
    </w:rPr>
  </w:style>
  <w:style w:type="character" w:styleId="FootnoteReference">
    <w:name w:val="footnote reference"/>
    <w:rsid w:val="00ED5648"/>
    <w:rPr>
      <w:vertAlign w:val="superscript"/>
    </w:rPr>
  </w:style>
  <w:style w:type="character" w:customStyle="1" w:styleId="HeaderChar">
    <w:name w:val="Header Char"/>
    <w:link w:val="Header"/>
    <w:uiPriority w:val="99"/>
    <w:rsid w:val="00BB5764"/>
    <w:rPr>
      <w:rFonts w:ascii="Arial" w:hAnsi="Arial"/>
      <w:sz w:val="22"/>
      <w:szCs w:val="24"/>
      <w:lang w:val="en-US" w:eastAsia="en-US"/>
    </w:rPr>
  </w:style>
  <w:style w:type="character" w:styleId="CommentReference">
    <w:name w:val="annotation reference"/>
    <w:rsid w:val="00183A47"/>
    <w:rPr>
      <w:sz w:val="16"/>
      <w:szCs w:val="16"/>
    </w:rPr>
  </w:style>
  <w:style w:type="paragraph" w:styleId="CommentText">
    <w:name w:val="annotation text"/>
    <w:basedOn w:val="Normal"/>
    <w:link w:val="CommentTextChar"/>
    <w:rsid w:val="00183A47"/>
    <w:pPr>
      <w:spacing w:line="240" w:lineRule="auto"/>
    </w:pPr>
    <w:rPr>
      <w:sz w:val="20"/>
      <w:szCs w:val="20"/>
    </w:rPr>
  </w:style>
  <w:style w:type="character" w:customStyle="1" w:styleId="CommentTextChar">
    <w:name w:val="Comment Text Char"/>
    <w:link w:val="CommentText"/>
    <w:rsid w:val="00183A47"/>
    <w:rPr>
      <w:rFonts w:ascii="Arial" w:hAnsi="Arial"/>
      <w:lang w:val="en-US" w:eastAsia="en-US"/>
    </w:rPr>
  </w:style>
  <w:style w:type="paragraph" w:styleId="CommentSubject">
    <w:name w:val="annotation subject"/>
    <w:basedOn w:val="CommentText"/>
    <w:next w:val="CommentText"/>
    <w:link w:val="CommentSubjectChar"/>
    <w:rsid w:val="00183A47"/>
    <w:rPr>
      <w:b/>
      <w:bCs/>
    </w:rPr>
  </w:style>
  <w:style w:type="character" w:customStyle="1" w:styleId="CommentSubjectChar">
    <w:name w:val="Comment Subject Char"/>
    <w:link w:val="CommentSubject"/>
    <w:rsid w:val="00183A47"/>
    <w:rPr>
      <w:rFonts w:ascii="Arial" w:hAnsi="Arial"/>
      <w:b/>
      <w:bCs/>
      <w:lang w:val="en-US" w:eastAsia="en-US"/>
    </w:rPr>
  </w:style>
  <w:style w:type="paragraph" w:styleId="NoSpacing">
    <w:name w:val="No Spacing"/>
    <w:basedOn w:val="Normal"/>
    <w:uiPriority w:val="1"/>
    <w:qFormat/>
    <w:rsid w:val="00775DB8"/>
    <w:pPr>
      <w:spacing w:after="0" w:line="240" w:lineRule="auto"/>
    </w:pPr>
    <w:rPr>
      <w:rFonts w:ascii="Times New Roman" w:eastAsia="Calibri" w:hAnsi="Times New Roman"/>
      <w:sz w:val="24"/>
      <w:lang w:val="en-GB" w:eastAsia="en-GB"/>
    </w:rPr>
  </w:style>
  <w:style w:type="character" w:customStyle="1" w:styleId="ListParagraphChar">
    <w:name w:val="List Paragraph Char"/>
    <w:link w:val="ListParagraph"/>
    <w:uiPriority w:val="34"/>
    <w:rsid w:val="00536CC3"/>
    <w:rPr>
      <w:rFonts w:ascii="Arial" w:hAnsi="Arial"/>
      <w:sz w:val="22"/>
      <w:szCs w:val="24"/>
      <w:lang w:val="en-US" w:eastAsia="en-US"/>
    </w:rPr>
  </w:style>
  <w:style w:type="character" w:customStyle="1" w:styleId="FooterChar">
    <w:name w:val="Footer Char"/>
    <w:link w:val="Footer"/>
    <w:uiPriority w:val="99"/>
    <w:rsid w:val="001E2E03"/>
    <w:rPr>
      <w:rFonts w:ascii="Arial" w:hAnsi="Arial"/>
      <w:sz w:val="22"/>
      <w:szCs w:val="24"/>
      <w:lang w:val="en-US" w:eastAsia="en-US"/>
    </w:rPr>
  </w:style>
  <w:style w:type="paragraph" w:styleId="Revision">
    <w:name w:val="Revision"/>
    <w:hidden/>
    <w:uiPriority w:val="99"/>
    <w:semiHidden/>
    <w:rsid w:val="00FE6AF2"/>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93403">
      <w:bodyDiv w:val="1"/>
      <w:marLeft w:val="0"/>
      <w:marRight w:val="0"/>
      <w:marTop w:val="0"/>
      <w:marBottom w:val="0"/>
      <w:divBdr>
        <w:top w:val="none" w:sz="0" w:space="0" w:color="auto"/>
        <w:left w:val="none" w:sz="0" w:space="0" w:color="auto"/>
        <w:bottom w:val="none" w:sz="0" w:space="0" w:color="auto"/>
        <w:right w:val="none" w:sz="0" w:space="0" w:color="auto"/>
      </w:divBdr>
    </w:div>
    <w:div w:id="300504378">
      <w:bodyDiv w:val="1"/>
      <w:marLeft w:val="0"/>
      <w:marRight w:val="0"/>
      <w:marTop w:val="0"/>
      <w:marBottom w:val="0"/>
      <w:divBdr>
        <w:top w:val="none" w:sz="0" w:space="0" w:color="auto"/>
        <w:left w:val="none" w:sz="0" w:space="0" w:color="auto"/>
        <w:bottom w:val="none" w:sz="0" w:space="0" w:color="auto"/>
        <w:right w:val="none" w:sz="0" w:space="0" w:color="auto"/>
      </w:divBdr>
    </w:div>
    <w:div w:id="508522343">
      <w:bodyDiv w:val="1"/>
      <w:marLeft w:val="0"/>
      <w:marRight w:val="0"/>
      <w:marTop w:val="0"/>
      <w:marBottom w:val="0"/>
      <w:divBdr>
        <w:top w:val="none" w:sz="0" w:space="0" w:color="auto"/>
        <w:left w:val="none" w:sz="0" w:space="0" w:color="auto"/>
        <w:bottom w:val="none" w:sz="0" w:space="0" w:color="auto"/>
        <w:right w:val="none" w:sz="0" w:space="0" w:color="auto"/>
      </w:divBdr>
      <w:divsChild>
        <w:div w:id="1880049409">
          <w:marLeft w:val="0"/>
          <w:marRight w:val="0"/>
          <w:marTop w:val="0"/>
          <w:marBottom w:val="0"/>
          <w:divBdr>
            <w:top w:val="none" w:sz="0" w:space="0" w:color="auto"/>
            <w:left w:val="none" w:sz="0" w:space="0" w:color="auto"/>
            <w:bottom w:val="none" w:sz="0" w:space="0" w:color="auto"/>
            <w:right w:val="none" w:sz="0" w:space="0" w:color="auto"/>
          </w:divBdr>
          <w:divsChild>
            <w:div w:id="1298225775">
              <w:marLeft w:val="0"/>
              <w:marRight w:val="0"/>
              <w:marTop w:val="0"/>
              <w:marBottom w:val="0"/>
              <w:divBdr>
                <w:top w:val="none" w:sz="0" w:space="0" w:color="auto"/>
                <w:left w:val="none" w:sz="0" w:space="0" w:color="auto"/>
                <w:bottom w:val="none" w:sz="0" w:space="0" w:color="auto"/>
                <w:right w:val="none" w:sz="0" w:space="0" w:color="auto"/>
              </w:divBdr>
              <w:divsChild>
                <w:div w:id="1300070084">
                  <w:marLeft w:val="0"/>
                  <w:marRight w:val="0"/>
                  <w:marTop w:val="0"/>
                  <w:marBottom w:val="0"/>
                  <w:divBdr>
                    <w:top w:val="none" w:sz="0" w:space="0" w:color="auto"/>
                    <w:left w:val="none" w:sz="0" w:space="0" w:color="auto"/>
                    <w:bottom w:val="none" w:sz="0" w:space="0" w:color="auto"/>
                    <w:right w:val="none" w:sz="0" w:space="0" w:color="auto"/>
                  </w:divBdr>
                  <w:divsChild>
                    <w:div w:id="77216033">
                      <w:marLeft w:val="0"/>
                      <w:marRight w:val="0"/>
                      <w:marTop w:val="0"/>
                      <w:marBottom w:val="0"/>
                      <w:divBdr>
                        <w:top w:val="none" w:sz="0" w:space="0" w:color="auto"/>
                        <w:left w:val="none" w:sz="0" w:space="0" w:color="auto"/>
                        <w:bottom w:val="none" w:sz="0" w:space="0" w:color="auto"/>
                        <w:right w:val="none" w:sz="0" w:space="0" w:color="auto"/>
                      </w:divBdr>
                      <w:divsChild>
                        <w:div w:id="1862744575">
                          <w:marLeft w:val="0"/>
                          <w:marRight w:val="0"/>
                          <w:marTop w:val="0"/>
                          <w:marBottom w:val="0"/>
                          <w:divBdr>
                            <w:top w:val="none" w:sz="0" w:space="0" w:color="auto"/>
                            <w:left w:val="none" w:sz="0" w:space="0" w:color="auto"/>
                            <w:bottom w:val="none" w:sz="0" w:space="0" w:color="auto"/>
                            <w:right w:val="none" w:sz="0" w:space="0" w:color="auto"/>
                          </w:divBdr>
                          <w:divsChild>
                            <w:div w:id="641009444">
                              <w:marLeft w:val="0"/>
                              <w:marRight w:val="0"/>
                              <w:marTop w:val="0"/>
                              <w:marBottom w:val="0"/>
                              <w:divBdr>
                                <w:top w:val="none" w:sz="0" w:space="0" w:color="auto"/>
                                <w:left w:val="none" w:sz="0" w:space="0" w:color="auto"/>
                                <w:bottom w:val="none" w:sz="0" w:space="0" w:color="auto"/>
                                <w:right w:val="none" w:sz="0" w:space="0" w:color="auto"/>
                              </w:divBdr>
                              <w:divsChild>
                                <w:div w:id="61047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50527">
      <w:bodyDiv w:val="1"/>
      <w:marLeft w:val="0"/>
      <w:marRight w:val="0"/>
      <w:marTop w:val="0"/>
      <w:marBottom w:val="0"/>
      <w:divBdr>
        <w:top w:val="none" w:sz="0" w:space="0" w:color="auto"/>
        <w:left w:val="none" w:sz="0" w:space="0" w:color="auto"/>
        <w:bottom w:val="none" w:sz="0" w:space="0" w:color="auto"/>
        <w:right w:val="none" w:sz="0" w:space="0" w:color="auto"/>
      </w:divBdr>
    </w:div>
    <w:div w:id="1510440426">
      <w:bodyDiv w:val="1"/>
      <w:marLeft w:val="0"/>
      <w:marRight w:val="0"/>
      <w:marTop w:val="0"/>
      <w:marBottom w:val="0"/>
      <w:divBdr>
        <w:top w:val="none" w:sz="0" w:space="0" w:color="auto"/>
        <w:left w:val="none" w:sz="0" w:space="0" w:color="auto"/>
        <w:bottom w:val="none" w:sz="0" w:space="0" w:color="auto"/>
        <w:right w:val="none" w:sz="0" w:space="0" w:color="auto"/>
      </w:divBdr>
      <w:divsChild>
        <w:div w:id="175536189">
          <w:marLeft w:val="0"/>
          <w:marRight w:val="0"/>
          <w:marTop w:val="0"/>
          <w:marBottom w:val="0"/>
          <w:divBdr>
            <w:top w:val="none" w:sz="0" w:space="0" w:color="auto"/>
            <w:left w:val="none" w:sz="0" w:space="0" w:color="auto"/>
            <w:bottom w:val="none" w:sz="0" w:space="0" w:color="auto"/>
            <w:right w:val="none" w:sz="0" w:space="0" w:color="auto"/>
          </w:divBdr>
          <w:divsChild>
            <w:div w:id="1087530812">
              <w:marLeft w:val="0"/>
              <w:marRight w:val="0"/>
              <w:marTop w:val="0"/>
              <w:marBottom w:val="0"/>
              <w:divBdr>
                <w:top w:val="none" w:sz="0" w:space="0" w:color="auto"/>
                <w:left w:val="none" w:sz="0" w:space="0" w:color="auto"/>
                <w:bottom w:val="none" w:sz="0" w:space="0" w:color="auto"/>
                <w:right w:val="none" w:sz="0" w:space="0" w:color="auto"/>
              </w:divBdr>
              <w:divsChild>
                <w:div w:id="995307245">
                  <w:marLeft w:val="0"/>
                  <w:marRight w:val="0"/>
                  <w:marTop w:val="0"/>
                  <w:marBottom w:val="0"/>
                  <w:divBdr>
                    <w:top w:val="none" w:sz="0" w:space="0" w:color="auto"/>
                    <w:left w:val="none" w:sz="0" w:space="0" w:color="auto"/>
                    <w:bottom w:val="none" w:sz="0" w:space="0" w:color="auto"/>
                    <w:right w:val="none" w:sz="0" w:space="0" w:color="auto"/>
                  </w:divBdr>
                  <w:divsChild>
                    <w:div w:id="760033728">
                      <w:marLeft w:val="0"/>
                      <w:marRight w:val="0"/>
                      <w:marTop w:val="0"/>
                      <w:marBottom w:val="0"/>
                      <w:divBdr>
                        <w:top w:val="none" w:sz="0" w:space="0" w:color="auto"/>
                        <w:left w:val="none" w:sz="0" w:space="0" w:color="auto"/>
                        <w:bottom w:val="none" w:sz="0" w:space="0" w:color="auto"/>
                        <w:right w:val="none" w:sz="0" w:space="0" w:color="auto"/>
                      </w:divBdr>
                      <w:divsChild>
                        <w:div w:id="9094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ataserver.lochlomond1.com/records/Corporate%20Management/Equality%20%26%20Diversity%20Management/Equality%20Impact%20Assessments/EqIA%20Review%20%26%20Approval%20Process.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archig/AppData/Local/Microsoft/Windows/INetCache/Content.Outlook/AppData/Local/Microsoft/Windows/INetCache/Content.Outlook/Appendix%20Docs/EQIA%20Staff%20Guidance.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gov.uk/Topics/People/Equality/Equalities/DataGr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archig/AppData/Local/Microsoft/Windows/INetCache/Content.Outlook/AppData/Local/Microsoft/Windows/INetCache/Content.Outlook/Engaging%20Equalities%20%26%20Diversity/Evidence%20and%20EqIA.doc"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otlandscensus.gov.uk/ods-web/hom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2c31d0-bf6c-47b5-8ecc-03e014eb75ad" xsi:nil="true"/>
    <lcf76f155ced4ddcb4097134ff3c332f xmlns="bd2ae475-06bb-492c-8a01-51b17e50469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7BC7DB52F6C845AEE6A1A088F2EDD7" ma:contentTypeVersion="15" ma:contentTypeDescription="Create a new document." ma:contentTypeScope="" ma:versionID="fc938ac1c6206d134186a1fa13ce7e58">
  <xsd:schema xmlns:xsd="http://www.w3.org/2001/XMLSchema" xmlns:xs="http://www.w3.org/2001/XMLSchema" xmlns:p="http://schemas.microsoft.com/office/2006/metadata/properties" xmlns:ns2="bd2ae475-06bb-492c-8a01-51b17e504696" xmlns:ns3="1e2c31d0-bf6c-47b5-8ecc-03e014eb75ad" targetNamespace="http://schemas.microsoft.com/office/2006/metadata/properties" ma:root="true" ma:fieldsID="b829255c0e2c96bc88495125c02251ed" ns2:_="" ns3:_="">
    <xsd:import namespace="bd2ae475-06bb-492c-8a01-51b17e504696"/>
    <xsd:import namespace="1e2c31d0-bf6c-47b5-8ecc-03e014eb75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e475-06bb-492c-8a01-51b17e504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98337-7e30-403b-9cb7-066a9d342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c31d0-bf6c-47b5-8ecc-03e014eb75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1194a1c-202c-42cd-9842-d1860ac5cb50}" ma:internalName="TaxCatchAll" ma:showField="CatchAllData" ma:web="1e2c31d0-bf6c-47b5-8ecc-03e014eb7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96F163-337A-47B1-B5B6-BBB7DE1D3FAF}">
  <ds:schemaRefs>
    <ds:schemaRef ds:uri="http://schemas.openxmlformats.org/officeDocument/2006/bibliography"/>
  </ds:schemaRefs>
</ds:datastoreItem>
</file>

<file path=customXml/itemProps2.xml><?xml version="1.0" encoding="utf-8"?>
<ds:datastoreItem xmlns:ds="http://schemas.openxmlformats.org/officeDocument/2006/customXml" ds:itemID="{F475D925-8289-4434-88DE-AE69FA6FD30D}">
  <ds:schemaRefs>
    <ds:schemaRef ds:uri="http://schemas.microsoft.com/sharepoint/v3/contenttype/forms"/>
  </ds:schemaRefs>
</ds:datastoreItem>
</file>

<file path=customXml/itemProps3.xml><?xml version="1.0" encoding="utf-8"?>
<ds:datastoreItem xmlns:ds="http://schemas.openxmlformats.org/officeDocument/2006/customXml" ds:itemID="{F192C074-9D12-492C-A5A4-036EF0648610}">
  <ds:schemaRefs>
    <ds:schemaRef ds:uri="http://schemas.microsoft.com/office/2006/metadata/properties"/>
    <ds:schemaRef ds:uri="http://schemas.microsoft.com/office/infopath/2007/PartnerControls"/>
    <ds:schemaRef ds:uri="1e2c31d0-bf6c-47b5-8ecc-03e014eb75ad"/>
    <ds:schemaRef ds:uri="bd2ae475-06bb-492c-8a01-51b17e504696"/>
  </ds:schemaRefs>
</ds:datastoreItem>
</file>

<file path=customXml/itemProps4.xml><?xml version="1.0" encoding="utf-8"?>
<ds:datastoreItem xmlns:ds="http://schemas.openxmlformats.org/officeDocument/2006/customXml" ds:itemID="{5C7B7D28-29DA-45FF-8570-8CFD207ED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e475-06bb-492c-8a01-51b17e504696"/>
    <ds:schemaRef ds:uri="1e2c31d0-bf6c-47b5-8ecc-03e014eb7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09D0F4-25A1-4E8C-BE9C-75E067A9CA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Equality Impact Assessment Template</vt:lpstr>
    </vt:vector>
  </TitlesOfParts>
  <Company>Loch Lomond &amp; The Trossachs National Park</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Template</dc:title>
  <dc:subject/>
  <dc:creator>administrator</dc:creator>
  <cp:keywords/>
  <cp:lastModifiedBy>Graeme Archibald</cp:lastModifiedBy>
  <cp:revision>48</cp:revision>
  <cp:lastPrinted>2013-08-08T00:51:00Z</cp:lastPrinted>
  <dcterms:created xsi:type="dcterms:W3CDTF">2024-06-19T16:03:00Z</dcterms:created>
  <dcterms:modified xsi:type="dcterms:W3CDTF">2024-07-09T14:50:00Z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id="sportscotland" /&gt;</vt:lpwstr>
  </property>
  <property fmtid="{D5CDD505-2E9C-101B-9397-08002B2CF9AE}" pid="3" name="_dlc_policyId">
    <vt:lpwstr>0x0101|153729986</vt:lpwstr>
  </property>
  <property fmtid="{D5CDD505-2E9C-101B-9397-08002B2CF9AE}" pid="4" name="category">
    <vt:lpwstr>Equality and Diversity Management</vt:lpwstr>
  </property>
  <property fmtid="{D5CDD505-2E9C-101B-9397-08002B2CF9AE}" pid="5" name="display_urn:schemas-microsoft-com:office:office#Editor">
    <vt:lpwstr>Administrator</vt:lpwstr>
  </property>
  <property fmtid="{D5CDD505-2E9C-101B-9397-08002B2CF9AE}" pid="6" name="Order">
    <vt:lpwstr>328000.000000000</vt:lpwstr>
  </property>
  <property fmtid="{D5CDD505-2E9C-101B-9397-08002B2CF9AE}" pid="7" name="display_urn:schemas-microsoft-com:office:office#Author">
    <vt:lpwstr>Administrator</vt:lpwstr>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0x0101000D7BC7DB52F6C845AEE6A1A088F2EDD7</vt:lpwstr>
  </property>
</Properties>
</file>